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1A0E" w:rsidRDefault="00591A0E">
      <w:pPr>
        <w:jc w:val="center"/>
        <w:rPr>
          <w:rFonts w:ascii="仿宋_GB2312" w:eastAsia="仿宋_GB2312"/>
          <w:b/>
          <w:sz w:val="32"/>
          <w:szCs w:val="32"/>
        </w:rPr>
      </w:pPr>
    </w:p>
    <w:p w:rsidR="00591A0E" w:rsidRDefault="00591A0E">
      <w:pPr>
        <w:jc w:val="center"/>
        <w:rPr>
          <w:rFonts w:ascii="黑体" w:eastAsia="黑体"/>
          <w:sz w:val="72"/>
          <w:szCs w:val="72"/>
        </w:rPr>
      </w:pPr>
    </w:p>
    <w:p w:rsidR="00591A0E" w:rsidRDefault="00591A0E">
      <w:pPr>
        <w:jc w:val="center"/>
        <w:rPr>
          <w:rFonts w:ascii="黑体" w:eastAsia="黑体"/>
          <w:sz w:val="72"/>
          <w:szCs w:val="72"/>
        </w:rPr>
      </w:pPr>
    </w:p>
    <w:p w:rsidR="00591A0E" w:rsidRDefault="00591A0E">
      <w:pPr>
        <w:jc w:val="center"/>
        <w:rPr>
          <w:rFonts w:ascii="黑体" w:eastAsia="黑体"/>
          <w:sz w:val="72"/>
          <w:szCs w:val="72"/>
        </w:rPr>
      </w:pPr>
    </w:p>
    <w:p w:rsidR="00591A0E" w:rsidRDefault="00591A0E">
      <w:pPr>
        <w:jc w:val="center"/>
        <w:rPr>
          <w:rFonts w:ascii="黑体" w:eastAsia="黑体"/>
          <w:sz w:val="72"/>
          <w:szCs w:val="72"/>
        </w:rPr>
      </w:pPr>
    </w:p>
    <w:p w:rsidR="00591A0E" w:rsidRDefault="00536D96">
      <w:pPr>
        <w:jc w:val="center"/>
        <w:rPr>
          <w:rFonts w:ascii="黑体" w:eastAsia="黑体"/>
          <w:sz w:val="72"/>
          <w:szCs w:val="72"/>
        </w:rPr>
      </w:pPr>
      <w:r>
        <w:rPr>
          <w:rFonts w:ascii="黑体" w:eastAsia="黑体" w:hint="eastAsia"/>
          <w:sz w:val="72"/>
          <w:szCs w:val="72"/>
        </w:rPr>
        <w:t>2024</w:t>
      </w:r>
      <w:r>
        <w:rPr>
          <w:rFonts w:ascii="黑体" w:eastAsia="黑体" w:hint="eastAsia"/>
          <w:sz w:val="72"/>
          <w:szCs w:val="72"/>
        </w:rPr>
        <w:t>年度部门决算（公开</w:t>
      </w:r>
      <w:r>
        <w:rPr>
          <w:rFonts w:ascii="黑体" w:eastAsia="黑体"/>
          <w:sz w:val="72"/>
          <w:szCs w:val="72"/>
        </w:rPr>
        <w:t>）</w:t>
      </w:r>
    </w:p>
    <w:p w:rsidR="00591A0E" w:rsidRDefault="00591A0E">
      <w:pPr>
        <w:jc w:val="center"/>
        <w:rPr>
          <w:rFonts w:ascii="黑体" w:eastAsia="黑体"/>
          <w:sz w:val="52"/>
          <w:szCs w:val="52"/>
        </w:rPr>
      </w:pPr>
    </w:p>
    <w:p w:rsidR="00591A0E" w:rsidRDefault="00591A0E">
      <w:pPr>
        <w:jc w:val="center"/>
        <w:rPr>
          <w:rFonts w:ascii="黑体" w:eastAsia="黑体"/>
          <w:sz w:val="52"/>
          <w:szCs w:val="52"/>
        </w:rPr>
      </w:pPr>
    </w:p>
    <w:p w:rsidR="00591A0E" w:rsidRDefault="00591A0E">
      <w:pPr>
        <w:jc w:val="center"/>
        <w:rPr>
          <w:rFonts w:ascii="黑体" w:eastAsia="黑体"/>
          <w:sz w:val="52"/>
          <w:szCs w:val="52"/>
        </w:rPr>
      </w:pPr>
    </w:p>
    <w:p w:rsidR="00591A0E" w:rsidRDefault="00591A0E">
      <w:pPr>
        <w:jc w:val="center"/>
        <w:rPr>
          <w:rFonts w:ascii="黑体" w:eastAsia="黑体"/>
          <w:sz w:val="52"/>
          <w:szCs w:val="52"/>
        </w:rPr>
      </w:pPr>
    </w:p>
    <w:p w:rsidR="00591A0E" w:rsidRDefault="00591A0E">
      <w:pPr>
        <w:jc w:val="center"/>
        <w:rPr>
          <w:rFonts w:ascii="黑体" w:eastAsia="黑体"/>
          <w:sz w:val="32"/>
          <w:szCs w:val="32"/>
        </w:rPr>
      </w:pPr>
    </w:p>
    <w:p w:rsidR="00591A0E" w:rsidRDefault="00536D96">
      <w:pPr>
        <w:spacing w:line="500" w:lineRule="exact"/>
        <w:ind w:firstLine="645"/>
        <w:jc w:val="center"/>
        <w:rPr>
          <w:rFonts w:ascii="宋体" w:hAnsi="宋体" w:cs="宋体"/>
          <w:b/>
          <w:bCs/>
          <w:kern w:val="0"/>
          <w:sz w:val="44"/>
          <w:szCs w:val="36"/>
        </w:rPr>
      </w:pPr>
      <w:r>
        <w:rPr>
          <w:rFonts w:ascii="宋体" w:hAnsi="宋体" w:cs="宋体" w:hint="eastAsia"/>
          <w:b/>
          <w:bCs/>
          <w:kern w:val="0"/>
          <w:sz w:val="44"/>
          <w:szCs w:val="36"/>
        </w:rPr>
        <w:lastRenderedPageBreak/>
        <w:t>目</w:t>
      </w:r>
      <w:r>
        <w:rPr>
          <w:rFonts w:ascii="宋体" w:hAnsi="宋体" w:cs="宋体" w:hint="eastAsia"/>
          <w:b/>
          <w:bCs/>
          <w:kern w:val="0"/>
          <w:sz w:val="44"/>
          <w:szCs w:val="36"/>
        </w:rPr>
        <w:t xml:space="preserve">    </w:t>
      </w:r>
      <w:r>
        <w:rPr>
          <w:rFonts w:ascii="宋体" w:hAnsi="宋体" w:cs="宋体" w:hint="eastAsia"/>
          <w:b/>
          <w:bCs/>
          <w:kern w:val="0"/>
          <w:sz w:val="44"/>
          <w:szCs w:val="36"/>
        </w:rPr>
        <w:t>录</w:t>
      </w:r>
    </w:p>
    <w:p w:rsidR="00591A0E" w:rsidRDefault="00591A0E">
      <w:pPr>
        <w:spacing w:line="500" w:lineRule="exact"/>
        <w:ind w:firstLine="645"/>
        <w:jc w:val="center"/>
        <w:rPr>
          <w:rFonts w:ascii="宋体" w:hAnsi="宋体" w:cs="宋体"/>
          <w:b/>
          <w:bCs/>
          <w:kern w:val="0"/>
          <w:sz w:val="36"/>
          <w:szCs w:val="36"/>
        </w:rPr>
      </w:pPr>
    </w:p>
    <w:p w:rsidR="00591A0E" w:rsidRDefault="00536D9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第一部分</w:t>
      </w:r>
      <w:r>
        <w:rPr>
          <w:rFonts w:ascii="宋体" w:hAnsi="宋体" w:cs="宋体" w:hint="eastAsia"/>
          <w:bCs/>
          <w:spacing w:val="40"/>
          <w:kern w:val="0"/>
          <w:sz w:val="32"/>
          <w:szCs w:val="32"/>
        </w:rPr>
        <w:t xml:space="preserve"> 2024</w:t>
      </w:r>
      <w:r>
        <w:rPr>
          <w:rFonts w:ascii="宋体" w:hAnsi="宋体" w:cs="宋体" w:hint="eastAsia"/>
          <w:bCs/>
          <w:spacing w:val="40"/>
          <w:kern w:val="0"/>
          <w:sz w:val="32"/>
          <w:szCs w:val="32"/>
        </w:rPr>
        <w:t>年度部门决算报表</w:t>
      </w:r>
    </w:p>
    <w:p w:rsidR="00591A0E" w:rsidRDefault="00536D96">
      <w:pPr>
        <w:tabs>
          <w:tab w:val="center" w:pos="6979"/>
        </w:tabs>
        <w:spacing w:line="500" w:lineRule="exact"/>
        <w:ind w:firstLineChars="600" w:firstLine="2400"/>
        <w:jc w:val="left"/>
        <w:rPr>
          <w:rFonts w:ascii="仿宋_GB2312" w:eastAsia="仿宋_GB2312" w:hAnsi="仿宋"/>
          <w:spacing w:val="40"/>
          <w:sz w:val="32"/>
          <w:szCs w:val="32"/>
        </w:rPr>
      </w:pPr>
      <w:r>
        <w:rPr>
          <w:rFonts w:ascii="仿宋_GB2312" w:eastAsia="仿宋_GB2312" w:hAnsi="仿宋" w:cs="宋体" w:hint="eastAsia"/>
          <w:bCs/>
          <w:spacing w:val="40"/>
          <w:kern w:val="0"/>
          <w:sz w:val="32"/>
          <w:szCs w:val="32"/>
        </w:rPr>
        <w:t>一、收入支出决算总表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二、收入决算表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三、支出决算表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四、财政拨款收入支出决算总表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五、一般公共预算财政拨款支出决算表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六、一般公共预算财政拨款</w:t>
      </w:r>
      <w:r>
        <w:rPr>
          <w:rFonts w:ascii="仿宋_GB2312" w:eastAsia="仿宋_GB2312" w:hAnsi="仿宋" w:cs="宋体"/>
          <w:bCs/>
          <w:spacing w:val="40"/>
          <w:kern w:val="0"/>
          <w:sz w:val="32"/>
          <w:szCs w:val="32"/>
        </w:rPr>
        <w:t>基本支出决算表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七</w:t>
      </w:r>
      <w:r>
        <w:rPr>
          <w:rFonts w:ascii="仿宋_GB2312" w:eastAsia="仿宋_GB2312" w:hAnsi="仿宋" w:cs="宋体"/>
          <w:bCs/>
          <w:spacing w:val="40"/>
          <w:kern w:val="0"/>
          <w:sz w:val="32"/>
          <w:szCs w:val="32"/>
        </w:rPr>
        <w:t>、</w:t>
      </w:r>
      <w:r>
        <w:rPr>
          <w:rFonts w:ascii="仿宋_GB2312" w:eastAsia="仿宋_GB2312" w:hAnsi="仿宋" w:cs="宋体" w:hint="eastAsia"/>
          <w:bCs/>
          <w:spacing w:val="40"/>
          <w:kern w:val="0"/>
          <w:sz w:val="32"/>
          <w:szCs w:val="32"/>
        </w:rPr>
        <w:t>政府性基金预算财政拨款收入支出决算表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八、</w:t>
      </w:r>
      <w:r>
        <w:rPr>
          <w:rFonts w:ascii="仿宋_GB2312" w:eastAsia="仿宋_GB2312" w:hAnsi="仿宋" w:cs="宋体"/>
          <w:bCs/>
          <w:spacing w:val="40"/>
          <w:kern w:val="0"/>
          <w:sz w:val="32"/>
          <w:szCs w:val="32"/>
        </w:rPr>
        <w:t>政府性基金</w:t>
      </w:r>
      <w:r>
        <w:rPr>
          <w:rFonts w:ascii="仿宋_GB2312" w:eastAsia="仿宋_GB2312" w:hAnsi="仿宋" w:cs="宋体" w:hint="eastAsia"/>
          <w:bCs/>
          <w:spacing w:val="40"/>
          <w:kern w:val="0"/>
          <w:sz w:val="32"/>
          <w:szCs w:val="32"/>
        </w:rPr>
        <w:t>预算</w:t>
      </w:r>
      <w:r>
        <w:rPr>
          <w:rFonts w:ascii="仿宋_GB2312" w:eastAsia="仿宋_GB2312" w:hAnsi="仿宋" w:cs="宋体"/>
          <w:bCs/>
          <w:spacing w:val="40"/>
          <w:kern w:val="0"/>
          <w:sz w:val="32"/>
          <w:szCs w:val="32"/>
        </w:rPr>
        <w:t>财政拨款基本支出决算表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九、国有资本经营预算财政拨款支出决算表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十、财政拨款“三公”经费支出决算表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十一、政府采购情况表</w:t>
      </w:r>
    </w:p>
    <w:p w:rsidR="00591A0E" w:rsidRDefault="00536D96">
      <w:pPr>
        <w:tabs>
          <w:tab w:val="center" w:pos="6979"/>
        </w:tabs>
        <w:spacing w:line="500" w:lineRule="exact"/>
        <w:ind w:firstLineChars="600" w:firstLine="2400"/>
        <w:jc w:val="left"/>
        <w:rPr>
          <w:rFonts w:ascii="仿宋_GB2312" w:eastAsia="仿宋_GB2312" w:hAnsi="仿宋" w:cs="宋体"/>
          <w:bCs/>
          <w:spacing w:val="40"/>
          <w:kern w:val="0"/>
          <w:sz w:val="32"/>
          <w:szCs w:val="32"/>
        </w:rPr>
      </w:pPr>
      <w:r>
        <w:rPr>
          <w:rFonts w:ascii="仿宋_GB2312" w:eastAsia="仿宋_GB2312" w:hAnsi="仿宋" w:cs="宋体" w:hint="eastAsia"/>
          <w:bCs/>
          <w:spacing w:val="40"/>
          <w:kern w:val="0"/>
          <w:sz w:val="32"/>
          <w:szCs w:val="32"/>
        </w:rPr>
        <w:t>十二、政府购买服务决算公开情况表</w:t>
      </w:r>
    </w:p>
    <w:p w:rsidR="00591A0E" w:rsidRDefault="00536D96">
      <w:pPr>
        <w:tabs>
          <w:tab w:val="center" w:pos="6979"/>
        </w:tabs>
        <w:spacing w:line="500" w:lineRule="exact"/>
        <w:ind w:firstLineChars="400" w:firstLine="1600"/>
        <w:jc w:val="left"/>
        <w:rPr>
          <w:rFonts w:ascii="宋体" w:hAnsi="宋体" w:cs="宋体"/>
          <w:bCs/>
          <w:spacing w:val="40"/>
          <w:kern w:val="0"/>
          <w:sz w:val="32"/>
          <w:szCs w:val="32"/>
        </w:rPr>
      </w:pPr>
      <w:r>
        <w:rPr>
          <w:rFonts w:ascii="宋体" w:hAnsi="宋体" w:cs="宋体" w:hint="eastAsia"/>
          <w:bCs/>
          <w:spacing w:val="40"/>
          <w:kern w:val="0"/>
          <w:sz w:val="32"/>
          <w:szCs w:val="32"/>
        </w:rPr>
        <w:t>第二部分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年度部门决算说明</w:t>
      </w:r>
    </w:p>
    <w:p w:rsidR="00591A0E" w:rsidRDefault="00536D96">
      <w:pPr>
        <w:tabs>
          <w:tab w:val="center" w:pos="6979"/>
        </w:tabs>
        <w:spacing w:line="500" w:lineRule="exact"/>
        <w:ind w:firstLineChars="400" w:firstLine="1600"/>
        <w:jc w:val="left"/>
        <w:rPr>
          <w:rFonts w:ascii="宋体" w:hAnsi="宋体" w:cs="宋体"/>
          <w:spacing w:val="40"/>
          <w:kern w:val="0"/>
          <w:sz w:val="32"/>
          <w:szCs w:val="32"/>
        </w:rPr>
      </w:pPr>
      <w:r>
        <w:rPr>
          <w:rFonts w:ascii="宋体" w:hAnsi="宋体" w:cs="宋体" w:hint="eastAsia"/>
          <w:bCs/>
          <w:spacing w:val="40"/>
          <w:kern w:val="0"/>
          <w:sz w:val="32"/>
          <w:szCs w:val="32"/>
        </w:rPr>
        <w:t>第三部分</w:t>
      </w:r>
      <w:r>
        <w:rPr>
          <w:rFonts w:ascii="宋体" w:hAnsi="宋体" w:cs="宋体" w:hint="eastAsia"/>
          <w:bCs/>
          <w:spacing w:val="40"/>
          <w:kern w:val="0"/>
          <w:sz w:val="32"/>
          <w:szCs w:val="32"/>
        </w:rPr>
        <w:t xml:space="preserve"> </w:t>
      </w:r>
      <w:r>
        <w:rPr>
          <w:rFonts w:ascii="宋体" w:hAnsi="宋体" w:hint="eastAsia"/>
          <w:spacing w:val="40"/>
          <w:sz w:val="32"/>
          <w:szCs w:val="32"/>
        </w:rPr>
        <w:t>2024</w:t>
      </w:r>
      <w:r>
        <w:rPr>
          <w:rFonts w:ascii="宋体" w:hAnsi="宋体" w:hint="eastAsia"/>
          <w:spacing w:val="40"/>
          <w:sz w:val="32"/>
          <w:szCs w:val="32"/>
        </w:rPr>
        <w:t>年度</w:t>
      </w:r>
      <w:r>
        <w:rPr>
          <w:rFonts w:ascii="宋体" w:hAnsi="宋体" w:cs="宋体" w:hint="eastAsia"/>
          <w:spacing w:val="40"/>
          <w:kern w:val="0"/>
          <w:sz w:val="32"/>
          <w:szCs w:val="32"/>
        </w:rPr>
        <w:t>其他重要事项的情况说明</w:t>
      </w:r>
    </w:p>
    <w:p w:rsidR="00591A0E" w:rsidRDefault="00536D96">
      <w:pPr>
        <w:tabs>
          <w:tab w:val="center" w:pos="6979"/>
        </w:tabs>
        <w:spacing w:line="500" w:lineRule="exact"/>
        <w:ind w:firstLineChars="400" w:firstLine="1600"/>
        <w:jc w:val="left"/>
        <w:rPr>
          <w:rFonts w:ascii="宋体" w:hAnsi="宋体" w:cs="宋体"/>
          <w:spacing w:val="40"/>
          <w:kern w:val="0"/>
          <w:sz w:val="36"/>
          <w:szCs w:val="32"/>
        </w:rPr>
      </w:pPr>
      <w:r>
        <w:rPr>
          <w:rFonts w:ascii="宋体" w:hAnsi="宋体" w:cs="宋体" w:hint="eastAsia"/>
          <w:spacing w:val="40"/>
          <w:kern w:val="0"/>
          <w:sz w:val="32"/>
          <w:szCs w:val="32"/>
        </w:rPr>
        <w:t>第四部分</w:t>
      </w:r>
      <w:r>
        <w:rPr>
          <w:rFonts w:ascii="宋体" w:hAnsi="宋体" w:cs="宋体" w:hint="eastAsia"/>
          <w:spacing w:val="40"/>
          <w:kern w:val="0"/>
          <w:sz w:val="32"/>
          <w:szCs w:val="32"/>
        </w:rPr>
        <w:t xml:space="preserve"> 2024</w:t>
      </w:r>
      <w:r>
        <w:rPr>
          <w:rFonts w:ascii="宋体" w:hAnsi="宋体" w:cs="宋体" w:hint="eastAsia"/>
          <w:spacing w:val="40"/>
          <w:kern w:val="0"/>
          <w:sz w:val="32"/>
          <w:szCs w:val="32"/>
        </w:rPr>
        <w:t>年度部门绩效评价情况</w:t>
      </w:r>
    </w:p>
    <w:p w:rsidR="00591A0E" w:rsidRDefault="00591A0E" w:rsidP="00B604A3">
      <w:pPr>
        <w:tabs>
          <w:tab w:val="center" w:pos="6979"/>
        </w:tabs>
        <w:spacing w:beforeLines="50" w:afterLines="50"/>
        <w:jc w:val="center"/>
        <w:rPr>
          <w:rFonts w:ascii="宋体" w:hAnsi="宋体" w:cs="宋体"/>
          <w:b/>
          <w:bCs/>
          <w:spacing w:val="40"/>
          <w:kern w:val="0"/>
          <w:sz w:val="32"/>
          <w:szCs w:val="32"/>
        </w:rPr>
      </w:pPr>
    </w:p>
    <w:p w:rsidR="00591A0E" w:rsidRDefault="00591A0E" w:rsidP="00B604A3">
      <w:pPr>
        <w:tabs>
          <w:tab w:val="center" w:pos="6979"/>
        </w:tabs>
        <w:spacing w:beforeLines="50" w:afterLines="50"/>
        <w:jc w:val="center"/>
        <w:rPr>
          <w:rFonts w:ascii="宋体" w:hAnsi="宋体" w:cs="宋体"/>
          <w:b/>
          <w:bCs/>
          <w:spacing w:val="40"/>
          <w:kern w:val="0"/>
          <w:sz w:val="32"/>
          <w:szCs w:val="32"/>
        </w:rPr>
      </w:pPr>
    </w:p>
    <w:p w:rsidR="00591A0E" w:rsidRDefault="00591A0E" w:rsidP="00B604A3">
      <w:pPr>
        <w:tabs>
          <w:tab w:val="center" w:pos="6979"/>
        </w:tabs>
        <w:spacing w:beforeLines="50" w:afterLines="50"/>
        <w:jc w:val="center"/>
        <w:rPr>
          <w:rFonts w:ascii="宋体" w:hAnsi="宋体" w:cs="宋体"/>
          <w:b/>
          <w:bCs/>
          <w:spacing w:val="40"/>
          <w:kern w:val="0"/>
          <w:sz w:val="32"/>
          <w:szCs w:val="32"/>
        </w:rPr>
      </w:pPr>
    </w:p>
    <w:p w:rsidR="00591A0E" w:rsidRDefault="00591A0E" w:rsidP="00B604A3">
      <w:pPr>
        <w:tabs>
          <w:tab w:val="center" w:pos="6979"/>
        </w:tabs>
        <w:spacing w:beforeLines="50" w:afterLines="50"/>
        <w:jc w:val="center"/>
        <w:rPr>
          <w:rFonts w:ascii="宋体" w:hAnsi="宋体" w:cs="宋体"/>
          <w:b/>
          <w:bCs/>
          <w:spacing w:val="40"/>
          <w:kern w:val="0"/>
          <w:sz w:val="32"/>
          <w:szCs w:val="32"/>
        </w:rPr>
      </w:pPr>
    </w:p>
    <w:p w:rsidR="00591A0E" w:rsidRDefault="00591A0E" w:rsidP="00B604A3">
      <w:pPr>
        <w:tabs>
          <w:tab w:val="center" w:pos="6979"/>
        </w:tabs>
        <w:spacing w:beforeLines="50" w:afterLines="50"/>
        <w:jc w:val="center"/>
        <w:rPr>
          <w:rFonts w:ascii="宋体" w:hAnsi="宋体" w:cs="宋体"/>
          <w:b/>
          <w:bCs/>
          <w:spacing w:val="40"/>
          <w:kern w:val="0"/>
          <w:sz w:val="32"/>
          <w:szCs w:val="32"/>
        </w:rPr>
      </w:pPr>
    </w:p>
    <w:p w:rsidR="00591A0E" w:rsidRDefault="00536D96" w:rsidP="00B604A3">
      <w:pPr>
        <w:tabs>
          <w:tab w:val="center" w:pos="6979"/>
        </w:tabs>
        <w:spacing w:beforeLines="50" w:afterLines="50"/>
        <w:jc w:val="center"/>
        <w:rPr>
          <w:rFonts w:ascii="宋体" w:hAnsi="宋体" w:cs="宋体"/>
          <w:b/>
          <w:bCs/>
          <w:spacing w:val="40"/>
          <w:kern w:val="0"/>
          <w:sz w:val="32"/>
          <w:szCs w:val="32"/>
        </w:rPr>
      </w:pPr>
      <w:r>
        <w:rPr>
          <w:rFonts w:ascii="宋体" w:hAnsi="宋体" w:cs="宋体" w:hint="eastAsia"/>
          <w:b/>
          <w:bCs/>
          <w:spacing w:val="40"/>
          <w:kern w:val="0"/>
          <w:sz w:val="44"/>
          <w:szCs w:val="44"/>
        </w:rPr>
        <w:t>第一部分</w:t>
      </w:r>
      <w:r>
        <w:rPr>
          <w:rFonts w:ascii="宋体" w:hAnsi="宋体" w:cs="宋体" w:hint="eastAsia"/>
          <w:b/>
          <w:bCs/>
          <w:spacing w:val="40"/>
          <w:kern w:val="0"/>
          <w:sz w:val="44"/>
          <w:szCs w:val="44"/>
        </w:rPr>
        <w:t xml:space="preserve"> 2024</w:t>
      </w:r>
      <w:r>
        <w:rPr>
          <w:rFonts w:ascii="宋体" w:hAnsi="宋体" w:cs="宋体" w:hint="eastAsia"/>
          <w:b/>
          <w:bCs/>
          <w:spacing w:val="40"/>
          <w:kern w:val="0"/>
          <w:sz w:val="44"/>
          <w:szCs w:val="44"/>
        </w:rPr>
        <w:t>年度部门决算报表</w:t>
      </w:r>
    </w:p>
    <w:p w:rsidR="00591A0E" w:rsidRDefault="00536D96">
      <w:pPr>
        <w:pStyle w:val="2"/>
        <w:rPr>
          <w:b w:val="0"/>
          <w:bCs w:val="0"/>
        </w:rPr>
        <w:sectPr w:rsidR="00591A0E">
          <w:footerReference w:type="default" r:id="rId7"/>
          <w:pgSz w:w="16838" w:h="11906" w:orient="landscape"/>
          <w:pgMar w:top="1134" w:right="1134" w:bottom="1134" w:left="1134" w:header="851" w:footer="992" w:gutter="0"/>
          <w:cols w:space="720"/>
          <w:docGrid w:type="linesAndChars" w:linePitch="312"/>
        </w:sectPr>
      </w:pPr>
      <w:r>
        <w:rPr>
          <w:rFonts w:ascii="仿宋_GB2312" w:eastAsia="仿宋_GB2312" w:hint="eastAsia"/>
          <w:sz w:val="28"/>
          <w:szCs w:val="28"/>
        </w:rPr>
        <w:t xml:space="preserve">   </w:t>
      </w:r>
      <w:r>
        <w:rPr>
          <w:rFonts w:ascii="仿宋_GB2312" w:eastAsia="仿宋_GB2312" w:hint="eastAsia"/>
          <w:b w:val="0"/>
          <w:bCs w:val="0"/>
          <w:sz w:val="28"/>
          <w:szCs w:val="28"/>
        </w:rPr>
        <w:t>报表详见附件。</w:t>
      </w:r>
    </w:p>
    <w:p w:rsidR="00591A0E" w:rsidRDefault="00536D96" w:rsidP="00B604A3">
      <w:pPr>
        <w:tabs>
          <w:tab w:val="center" w:pos="6979"/>
        </w:tabs>
        <w:spacing w:beforeLines="50" w:afterLines="50"/>
        <w:jc w:val="center"/>
        <w:rPr>
          <w:rFonts w:ascii="宋体" w:hAnsi="宋体"/>
          <w:b/>
          <w:sz w:val="32"/>
          <w:szCs w:val="32"/>
        </w:rPr>
      </w:pPr>
      <w:r>
        <w:rPr>
          <w:rFonts w:ascii="宋体" w:hAnsi="宋体" w:cs="宋体" w:hint="eastAsia"/>
          <w:b/>
          <w:bCs/>
          <w:spacing w:val="40"/>
          <w:kern w:val="0"/>
          <w:sz w:val="32"/>
          <w:szCs w:val="32"/>
        </w:rPr>
        <w:t>第二部分</w:t>
      </w:r>
      <w:r>
        <w:rPr>
          <w:rFonts w:ascii="宋体" w:hAnsi="宋体" w:cs="宋体" w:hint="eastAsia"/>
          <w:b/>
          <w:bCs/>
          <w:spacing w:val="40"/>
          <w:kern w:val="0"/>
          <w:sz w:val="32"/>
          <w:szCs w:val="32"/>
        </w:rPr>
        <w:t xml:space="preserve"> </w:t>
      </w:r>
      <w:r>
        <w:rPr>
          <w:rFonts w:ascii="宋体" w:hAnsi="宋体" w:hint="eastAsia"/>
          <w:b/>
          <w:spacing w:val="40"/>
          <w:sz w:val="32"/>
          <w:szCs w:val="32"/>
        </w:rPr>
        <w:t>2024</w:t>
      </w:r>
      <w:r>
        <w:rPr>
          <w:rFonts w:ascii="宋体" w:hAnsi="宋体" w:hint="eastAsia"/>
          <w:b/>
          <w:spacing w:val="40"/>
          <w:sz w:val="32"/>
          <w:szCs w:val="32"/>
        </w:rPr>
        <w:t>年度部门决算说明</w:t>
      </w:r>
    </w:p>
    <w:p w:rsidR="00591A0E" w:rsidRDefault="00536D96" w:rsidP="00591A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一、单位基本情况</w:t>
      </w:r>
    </w:p>
    <w:p w:rsidR="00591A0E" w:rsidRDefault="00536D96" w:rsidP="005D485A">
      <w:pPr>
        <w:spacing w:line="360" w:lineRule="auto"/>
        <w:ind w:firstLineChars="177" w:firstLine="496"/>
        <w:rPr>
          <w:rFonts w:ascii="仿宋_GB2312" w:eastAsia="仿宋_GB2312"/>
          <w:sz w:val="28"/>
          <w:szCs w:val="28"/>
        </w:rPr>
      </w:pPr>
      <w:r>
        <w:rPr>
          <w:rFonts w:ascii="仿宋_GB2312" w:eastAsia="仿宋_GB2312" w:hint="eastAsia"/>
          <w:sz w:val="28"/>
          <w:szCs w:val="28"/>
        </w:rPr>
        <w:t>根据北京市机构编制委员会办公室批准的《关于同意成立北京市杂技学校的函》（京编办事【</w:t>
      </w:r>
      <w:r>
        <w:rPr>
          <w:rFonts w:ascii="仿宋_GB2312" w:eastAsia="仿宋_GB2312" w:hint="eastAsia"/>
          <w:sz w:val="28"/>
          <w:szCs w:val="28"/>
        </w:rPr>
        <w:t>1998</w:t>
      </w:r>
      <w:r>
        <w:rPr>
          <w:rFonts w:ascii="仿宋_GB2312" w:eastAsia="仿宋_GB2312" w:hint="eastAsia"/>
          <w:sz w:val="28"/>
          <w:szCs w:val="28"/>
        </w:rPr>
        <w:t>】</w:t>
      </w:r>
      <w:r>
        <w:rPr>
          <w:rFonts w:ascii="仿宋_GB2312" w:eastAsia="仿宋_GB2312" w:hint="eastAsia"/>
          <w:sz w:val="28"/>
          <w:szCs w:val="28"/>
        </w:rPr>
        <w:t>127</w:t>
      </w:r>
      <w:r>
        <w:rPr>
          <w:rFonts w:ascii="仿宋_GB2312" w:eastAsia="仿宋_GB2312" w:hint="eastAsia"/>
          <w:sz w:val="28"/>
          <w:szCs w:val="28"/>
        </w:rPr>
        <w:t>号）设立北京市杂技学校。《中共北京市委机构编制委员会关于市文化和旅游局所属事业单位改革有关事项的批复》（京编委【</w:t>
      </w:r>
      <w:r>
        <w:rPr>
          <w:rFonts w:ascii="仿宋_GB2312" w:eastAsia="仿宋_GB2312" w:hint="eastAsia"/>
          <w:sz w:val="28"/>
          <w:szCs w:val="28"/>
        </w:rPr>
        <w:t>2021</w:t>
      </w:r>
      <w:r>
        <w:rPr>
          <w:rFonts w:ascii="仿宋_GB2312" w:eastAsia="仿宋_GB2312" w:hint="eastAsia"/>
          <w:sz w:val="28"/>
          <w:szCs w:val="28"/>
        </w:rPr>
        <w:t>】</w:t>
      </w:r>
      <w:r>
        <w:rPr>
          <w:rFonts w:ascii="仿宋_GB2312" w:eastAsia="仿宋_GB2312" w:hint="eastAsia"/>
          <w:sz w:val="28"/>
          <w:szCs w:val="28"/>
        </w:rPr>
        <w:t>147</w:t>
      </w:r>
      <w:r>
        <w:rPr>
          <w:rFonts w:ascii="仿宋_GB2312" w:eastAsia="仿宋_GB2312" w:hint="eastAsia"/>
          <w:sz w:val="28"/>
          <w:szCs w:val="28"/>
        </w:rPr>
        <w:t>号）同意将北京市杂技学校（北京市国际艺术学校）整建制划转至北京演艺集团。北京市杂技学校（北京市国际艺术学校）是北京演艺集团有限责任公司所属公益二类事业单位。</w:t>
      </w:r>
    </w:p>
    <w:p w:rsidR="0098442A" w:rsidRPr="0098442A" w:rsidRDefault="00536D96" w:rsidP="0098442A">
      <w:pPr>
        <w:tabs>
          <w:tab w:val="left" w:pos="7395"/>
        </w:tabs>
        <w:ind w:firstLine="555"/>
        <w:rPr>
          <w:rFonts w:ascii="仿宋_GB2312" w:eastAsia="仿宋_GB2312"/>
          <w:sz w:val="28"/>
          <w:szCs w:val="28"/>
        </w:rPr>
      </w:pPr>
      <w:r>
        <w:rPr>
          <w:rFonts w:ascii="仿宋_GB2312" w:eastAsia="仿宋_GB2312" w:hint="eastAsia"/>
          <w:sz w:val="28"/>
          <w:szCs w:val="28"/>
        </w:rPr>
        <w:t>北京市杂技学校（北京市国际艺术学校）主要职责是培养中专学历艺术人才，促进杂技艺术事业发展。杂技、魔术、马戏学科中专学历教育；外国</w:t>
      </w:r>
      <w:r>
        <w:rPr>
          <w:rFonts w:ascii="仿宋_GB2312" w:eastAsia="仿宋_GB2312" w:hint="eastAsia"/>
          <w:sz w:val="28"/>
          <w:szCs w:val="28"/>
        </w:rPr>
        <w:t>留学生培训；杂技艺术培训；相关社会服务。</w:t>
      </w:r>
    </w:p>
    <w:p w:rsidR="0098442A" w:rsidRPr="0098442A" w:rsidRDefault="0098442A" w:rsidP="0098442A">
      <w:pPr>
        <w:suppressAutoHyphens/>
        <w:ind w:firstLine="555"/>
        <w:rPr>
          <w:rFonts w:ascii="仿宋_GB2312" w:eastAsia="仿宋_GB2312"/>
          <w:sz w:val="28"/>
          <w:szCs w:val="28"/>
        </w:rPr>
      </w:pPr>
      <w:r w:rsidRPr="0098442A">
        <w:rPr>
          <w:rFonts w:ascii="仿宋_GB2312" w:eastAsia="仿宋_GB2312" w:hint="eastAsia"/>
          <w:sz w:val="28"/>
          <w:szCs w:val="28"/>
          <w:highlight w:val="yellow"/>
        </w:rPr>
        <w:t>北京市杂技学校（北京市国际艺术学校）单位内设11个处室，分别是党务行政办公室、人事处、财务处、教学管理中心、学生发展中心、后勤服务中心、舞蹈表演、运动训练（武术）、美术绘画、戏剧表演、杂技与魔术表演。</w:t>
      </w:r>
    </w:p>
    <w:p w:rsidR="00591A0E" w:rsidRDefault="00536D96">
      <w:pPr>
        <w:tabs>
          <w:tab w:val="center" w:pos="6979"/>
        </w:tabs>
        <w:spacing w:line="580" w:lineRule="exact"/>
        <w:rPr>
          <w:rFonts w:ascii="黑体" w:eastAsia="黑体"/>
          <w:b/>
          <w:sz w:val="28"/>
          <w:szCs w:val="28"/>
        </w:rPr>
      </w:pPr>
      <w:r>
        <w:rPr>
          <w:rFonts w:ascii="仿宋_GB2312" w:eastAsia="仿宋_GB2312" w:hint="eastAsia"/>
          <w:b/>
          <w:sz w:val="32"/>
          <w:szCs w:val="32"/>
        </w:rPr>
        <w:t xml:space="preserve">   </w:t>
      </w:r>
      <w:r>
        <w:rPr>
          <w:rFonts w:ascii="黑体" w:eastAsia="黑体" w:hint="eastAsia"/>
          <w:b/>
          <w:sz w:val="28"/>
          <w:szCs w:val="28"/>
        </w:rPr>
        <w:t>二、收入支出决算总体情况说明</w:t>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7290.77</w:t>
      </w:r>
      <w:r>
        <w:rPr>
          <w:rFonts w:ascii="仿宋_GB2312" w:eastAsia="仿宋_GB2312" w:hint="eastAsia"/>
          <w:sz w:val="28"/>
          <w:szCs w:val="28"/>
        </w:rPr>
        <w:t>万元，</w:t>
      </w:r>
      <w:r>
        <w:rPr>
          <w:rFonts w:ascii="仿宋_GB2312" w:eastAsia="仿宋_GB2312"/>
          <w:sz w:val="28"/>
          <w:szCs w:val="28"/>
        </w:rPr>
        <w:t>比</w:t>
      </w:r>
      <w:r>
        <w:rPr>
          <w:rFonts w:ascii="仿宋_GB2312" w:eastAsia="仿宋_GB2312" w:hint="eastAsia"/>
          <w:sz w:val="28"/>
          <w:szCs w:val="28"/>
        </w:rPr>
        <w:t>上年增加</w:t>
      </w:r>
      <w:r>
        <w:rPr>
          <w:rFonts w:ascii="仿宋_GB2312" w:eastAsia="仿宋_GB2312" w:hint="eastAsia"/>
          <w:sz w:val="28"/>
          <w:szCs w:val="28"/>
        </w:rPr>
        <w:t>83.72</w:t>
      </w:r>
      <w:r>
        <w:rPr>
          <w:rFonts w:ascii="仿宋_GB2312" w:eastAsia="仿宋_GB2312" w:hint="eastAsia"/>
          <w:sz w:val="28"/>
          <w:szCs w:val="28"/>
        </w:rPr>
        <w:t>万元，</w:t>
      </w:r>
      <w:r>
        <w:rPr>
          <w:rFonts w:ascii="仿宋_GB2312" w:eastAsia="仿宋_GB2312" w:hint="eastAsia"/>
          <w:kern w:val="0"/>
          <w:sz w:val="28"/>
          <w:szCs w:val="28"/>
        </w:rPr>
        <w:t>增长</w:t>
      </w:r>
      <w:r>
        <w:rPr>
          <w:rFonts w:ascii="仿宋_GB2312" w:eastAsia="仿宋_GB2312" w:hint="eastAsia"/>
          <w:kern w:val="0"/>
          <w:sz w:val="28"/>
          <w:szCs w:val="28"/>
        </w:rPr>
        <w:t>1.16%</w:t>
      </w:r>
      <w:r>
        <w:rPr>
          <w:rFonts w:ascii="仿宋_GB2312" w:eastAsia="仿宋_GB2312" w:hint="eastAsia"/>
          <w:sz w:val="28"/>
          <w:szCs w:val="28"/>
        </w:rPr>
        <w:t>。</w:t>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（一</w:t>
      </w:r>
      <w:r>
        <w:rPr>
          <w:rFonts w:ascii="仿宋_GB2312" w:eastAsia="仿宋_GB2312"/>
          <w:sz w:val="28"/>
          <w:szCs w:val="28"/>
        </w:rPr>
        <w:t>）</w:t>
      </w:r>
      <w:r>
        <w:rPr>
          <w:rFonts w:ascii="仿宋_GB2312" w:eastAsia="仿宋_GB2312" w:hint="eastAsia"/>
          <w:sz w:val="28"/>
          <w:szCs w:val="28"/>
        </w:rPr>
        <w:t>收入决算</w:t>
      </w:r>
      <w:r>
        <w:rPr>
          <w:rFonts w:ascii="仿宋_GB2312" w:eastAsia="仿宋_GB2312"/>
          <w:sz w:val="28"/>
          <w:szCs w:val="28"/>
        </w:rPr>
        <w:t>说明</w:t>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年度本年收入合计</w:t>
      </w:r>
      <w:r>
        <w:rPr>
          <w:rFonts w:ascii="仿宋_GB2312" w:eastAsia="仿宋_GB2312"/>
          <w:sz w:val="28"/>
          <w:szCs w:val="28"/>
        </w:rPr>
        <w:t>5795.72</w:t>
      </w:r>
      <w:r>
        <w:rPr>
          <w:rFonts w:ascii="仿宋_GB2312" w:eastAsia="仿宋_GB2312" w:hint="eastAsia"/>
          <w:sz w:val="28"/>
          <w:szCs w:val="28"/>
        </w:rPr>
        <w:t>万元，比上年减少</w:t>
      </w:r>
      <w:r>
        <w:rPr>
          <w:rFonts w:ascii="仿宋_GB2312" w:eastAsia="仿宋_GB2312" w:hint="eastAsia"/>
          <w:sz w:val="28"/>
          <w:szCs w:val="28"/>
        </w:rPr>
        <w:t>115.68</w:t>
      </w:r>
      <w:r>
        <w:rPr>
          <w:rFonts w:ascii="仿宋_GB2312" w:eastAsia="仿宋_GB2312" w:hint="eastAsia"/>
          <w:sz w:val="28"/>
          <w:szCs w:val="28"/>
        </w:rPr>
        <w:t>万元，下降</w:t>
      </w:r>
      <w:r>
        <w:rPr>
          <w:rFonts w:ascii="仿宋_GB2312" w:eastAsia="仿宋_GB2312" w:hint="eastAsia"/>
          <w:sz w:val="28"/>
          <w:szCs w:val="28"/>
        </w:rPr>
        <w:t>1.96%</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财政拨款收入</w:t>
      </w:r>
      <w:r>
        <w:rPr>
          <w:rFonts w:ascii="仿宋_GB2312" w:eastAsia="仿宋_GB2312"/>
          <w:sz w:val="28"/>
          <w:szCs w:val="28"/>
        </w:rPr>
        <w:t>5467.5</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占收入合计的</w:t>
      </w:r>
      <w:r>
        <w:rPr>
          <w:rFonts w:ascii="仿宋_GB2312" w:eastAsia="仿宋_GB2312" w:hint="eastAsia"/>
          <w:sz w:val="28"/>
          <w:szCs w:val="28"/>
        </w:rPr>
        <w:t>94.34%</w:t>
      </w:r>
      <w:r>
        <w:rPr>
          <w:rFonts w:ascii="仿宋_GB2312" w:eastAsia="仿宋_GB2312" w:hint="eastAsia"/>
          <w:sz w:val="28"/>
          <w:szCs w:val="28"/>
        </w:rPr>
        <w:t>。其中：一般公共预算财政拨款收入</w:t>
      </w:r>
      <w:r>
        <w:rPr>
          <w:rFonts w:ascii="仿宋_GB2312" w:eastAsia="仿宋_GB2312"/>
          <w:sz w:val="28"/>
          <w:szCs w:val="28"/>
        </w:rPr>
        <w:t>5467.5</w:t>
      </w:r>
      <w:r>
        <w:rPr>
          <w:rFonts w:ascii="仿宋_GB2312" w:eastAsia="仿宋_GB2312" w:hint="eastAsia"/>
          <w:sz w:val="28"/>
          <w:szCs w:val="28"/>
        </w:rPr>
        <w:t>0</w:t>
      </w:r>
      <w:r>
        <w:rPr>
          <w:rFonts w:ascii="仿宋_GB2312" w:eastAsia="仿宋_GB2312" w:hint="eastAsia"/>
          <w:sz w:val="28"/>
          <w:szCs w:val="28"/>
        </w:rPr>
        <w:t>万元，占收入合计的</w:t>
      </w:r>
      <w:r>
        <w:rPr>
          <w:rFonts w:ascii="仿宋_GB2312" w:eastAsia="仿宋_GB2312" w:hint="eastAsia"/>
          <w:sz w:val="28"/>
          <w:szCs w:val="28"/>
        </w:rPr>
        <w:t>94.34%</w:t>
      </w:r>
      <w:r>
        <w:rPr>
          <w:rFonts w:ascii="仿宋_GB2312" w:eastAsia="仿宋_GB2312" w:hint="eastAsia"/>
          <w:sz w:val="28"/>
          <w:szCs w:val="28"/>
        </w:rPr>
        <w:t>；政府性基金预算财政拨款收入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；国有资本经营预算财政拨款收入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上级补助收入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事业收入</w:t>
      </w:r>
      <w:r>
        <w:rPr>
          <w:rFonts w:ascii="仿宋_GB2312" w:eastAsia="仿宋_GB2312"/>
          <w:sz w:val="28"/>
          <w:szCs w:val="28"/>
        </w:rPr>
        <w:t>317.44</w:t>
      </w:r>
      <w:r>
        <w:rPr>
          <w:rFonts w:ascii="仿宋_GB2312" w:eastAsia="仿宋_GB2312" w:hint="eastAsia"/>
          <w:sz w:val="28"/>
          <w:szCs w:val="28"/>
        </w:rPr>
        <w:t>万元，占收入合计的</w:t>
      </w:r>
      <w:r>
        <w:rPr>
          <w:rFonts w:ascii="仿宋_GB2312" w:eastAsia="仿宋_GB2312" w:hint="eastAsia"/>
          <w:sz w:val="28"/>
          <w:szCs w:val="28"/>
        </w:rPr>
        <w:t>5.48%</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4.</w:t>
      </w:r>
      <w:r>
        <w:rPr>
          <w:rFonts w:ascii="仿宋_GB2312" w:eastAsia="仿宋_GB2312" w:hint="eastAsia"/>
          <w:sz w:val="28"/>
          <w:szCs w:val="28"/>
        </w:rPr>
        <w:t>经营收入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5.</w:t>
      </w:r>
      <w:r>
        <w:rPr>
          <w:rFonts w:ascii="仿宋_GB2312" w:eastAsia="仿宋_GB2312" w:hint="eastAsia"/>
          <w:sz w:val="28"/>
          <w:szCs w:val="28"/>
        </w:rPr>
        <w:t>附属单位上缴收入</w:t>
      </w:r>
      <w:r>
        <w:rPr>
          <w:rFonts w:ascii="仿宋_GB2312" w:eastAsia="仿宋_GB2312"/>
          <w:sz w:val="28"/>
          <w:szCs w:val="28"/>
        </w:rPr>
        <w:t>0</w:t>
      </w:r>
      <w:r>
        <w:rPr>
          <w:rFonts w:ascii="仿宋_GB2312" w:eastAsia="仿宋_GB2312" w:hint="eastAsia"/>
          <w:sz w:val="28"/>
          <w:szCs w:val="28"/>
        </w:rPr>
        <w:t>万元，占收入合计的</w:t>
      </w:r>
      <w:r>
        <w:rPr>
          <w:rFonts w:ascii="仿宋_GB2312" w:eastAsia="仿宋_GB2312" w:hint="eastAsia"/>
          <w:sz w:val="28"/>
          <w:szCs w:val="28"/>
        </w:rPr>
        <w:t>0%</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6.</w:t>
      </w:r>
      <w:r>
        <w:rPr>
          <w:rFonts w:ascii="仿宋_GB2312" w:eastAsia="仿宋_GB2312" w:hint="eastAsia"/>
          <w:sz w:val="28"/>
          <w:szCs w:val="28"/>
        </w:rPr>
        <w:t>其他收入</w:t>
      </w:r>
      <w:r>
        <w:rPr>
          <w:rFonts w:ascii="仿宋_GB2312" w:eastAsia="仿宋_GB2312"/>
          <w:sz w:val="28"/>
          <w:szCs w:val="28"/>
        </w:rPr>
        <w:t>10.78</w:t>
      </w:r>
      <w:r>
        <w:rPr>
          <w:rFonts w:ascii="仿宋_GB2312" w:eastAsia="仿宋_GB2312" w:hint="eastAsia"/>
          <w:sz w:val="28"/>
          <w:szCs w:val="28"/>
        </w:rPr>
        <w:t>万元，占收入合计的</w:t>
      </w:r>
      <w:r>
        <w:rPr>
          <w:rFonts w:ascii="仿宋_GB2312" w:eastAsia="仿宋_GB2312" w:hint="eastAsia"/>
          <w:sz w:val="28"/>
          <w:szCs w:val="28"/>
        </w:rPr>
        <w:t>0.19%</w:t>
      </w:r>
      <w:r>
        <w:rPr>
          <w:rFonts w:ascii="仿宋_GB2312" w:eastAsia="仿宋_GB2312" w:hint="eastAsia"/>
          <w:sz w:val="28"/>
          <w:szCs w:val="28"/>
        </w:rPr>
        <w:t>。</w:t>
      </w:r>
    </w:p>
    <w:p w:rsidR="00591A0E" w:rsidRDefault="00536D96">
      <w:pPr>
        <w:pStyle w:val="2"/>
        <w:jc w:val="center"/>
        <w:rPr>
          <w:rFonts w:eastAsia="仿宋_GB2312"/>
        </w:rPr>
      </w:pPr>
      <w:r>
        <w:rPr>
          <w:rFonts w:ascii="仿宋_GB2312" w:eastAsia="仿宋_GB2312" w:hint="eastAsia"/>
          <w:color w:val="000000"/>
          <w:sz w:val="32"/>
        </w:rPr>
        <w:t>图</w:t>
      </w:r>
      <w:r>
        <w:rPr>
          <w:rFonts w:ascii="仿宋_GB2312" w:eastAsia="仿宋_GB2312" w:hint="eastAsia"/>
          <w:color w:val="000000"/>
          <w:sz w:val="32"/>
        </w:rPr>
        <w:t>1</w:t>
      </w:r>
      <w:r>
        <w:rPr>
          <w:rFonts w:ascii="仿宋_GB2312" w:eastAsia="仿宋_GB2312" w:hint="eastAsia"/>
          <w:color w:val="000000"/>
          <w:sz w:val="32"/>
        </w:rPr>
        <w:t>：收入决算</w:t>
      </w:r>
      <w:bookmarkStart w:id="0" w:name="_GoBack"/>
      <w:bookmarkEnd w:id="0"/>
    </w:p>
    <w:p w:rsidR="00591A0E" w:rsidRDefault="00536D96">
      <w:pPr>
        <w:pStyle w:val="a3"/>
        <w:ind w:firstLine="420"/>
        <w:jc w:val="center"/>
      </w:pPr>
      <w:r>
        <w:rPr>
          <w:noProof/>
        </w:rPr>
        <w:drawing>
          <wp:inline distT="0" distB="0" distL="0" distR="0">
            <wp:extent cx="4036695" cy="2328545"/>
            <wp:effectExtent l="0" t="0" r="20955" b="1460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（二</w:t>
      </w:r>
      <w:r>
        <w:rPr>
          <w:rFonts w:ascii="仿宋_GB2312" w:eastAsia="仿宋_GB2312"/>
          <w:sz w:val="28"/>
          <w:szCs w:val="28"/>
        </w:rPr>
        <w:t>）</w:t>
      </w:r>
      <w:r>
        <w:rPr>
          <w:rFonts w:ascii="仿宋_GB2312" w:eastAsia="仿宋_GB2312" w:hint="eastAsia"/>
          <w:sz w:val="28"/>
          <w:szCs w:val="28"/>
        </w:rPr>
        <w:t>支出决算</w:t>
      </w:r>
      <w:r>
        <w:rPr>
          <w:rFonts w:ascii="仿宋_GB2312" w:eastAsia="仿宋_GB2312"/>
          <w:sz w:val="28"/>
          <w:szCs w:val="28"/>
        </w:rPr>
        <w:t>说明</w:t>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年度本年支出合计</w:t>
      </w:r>
      <w:r>
        <w:rPr>
          <w:rFonts w:ascii="仿宋_GB2312" w:eastAsia="仿宋_GB2312"/>
          <w:sz w:val="28"/>
          <w:szCs w:val="28"/>
        </w:rPr>
        <w:t>5811.33</w:t>
      </w:r>
      <w:r>
        <w:rPr>
          <w:rFonts w:ascii="仿宋_GB2312" w:eastAsia="仿宋_GB2312" w:hint="eastAsia"/>
          <w:sz w:val="28"/>
          <w:szCs w:val="28"/>
        </w:rPr>
        <w:t>万元，比上年增加</w:t>
      </w:r>
      <w:r>
        <w:rPr>
          <w:rFonts w:ascii="仿宋_GB2312" w:eastAsia="仿宋_GB2312" w:hint="eastAsia"/>
          <w:sz w:val="28"/>
          <w:szCs w:val="28"/>
        </w:rPr>
        <w:t>196.98</w:t>
      </w:r>
      <w:r>
        <w:rPr>
          <w:rFonts w:ascii="仿宋_GB2312" w:eastAsia="仿宋_GB2312" w:hint="eastAsia"/>
          <w:sz w:val="28"/>
          <w:szCs w:val="28"/>
        </w:rPr>
        <w:t>万元，增长</w:t>
      </w:r>
      <w:r>
        <w:rPr>
          <w:rFonts w:ascii="仿宋_GB2312" w:eastAsia="仿宋_GB2312" w:hint="eastAsia"/>
          <w:sz w:val="28"/>
          <w:szCs w:val="28"/>
        </w:rPr>
        <w:t>3.51%</w:t>
      </w:r>
      <w:r>
        <w:rPr>
          <w:rFonts w:ascii="仿宋_GB2312" w:eastAsia="仿宋_GB2312" w:hint="eastAsia"/>
          <w:sz w:val="28"/>
          <w:szCs w:val="28"/>
        </w:rPr>
        <w:t>，其中：基本支出</w:t>
      </w:r>
      <w:r>
        <w:rPr>
          <w:rFonts w:ascii="仿宋_GB2312" w:eastAsia="仿宋_GB2312"/>
          <w:sz w:val="28"/>
          <w:szCs w:val="28"/>
        </w:rPr>
        <w:t>5332.07</w:t>
      </w:r>
      <w:r>
        <w:rPr>
          <w:rFonts w:ascii="仿宋_GB2312" w:eastAsia="仿宋_GB2312" w:hint="eastAsia"/>
          <w:sz w:val="28"/>
          <w:szCs w:val="28"/>
        </w:rPr>
        <w:t>万元，占支出合计的</w:t>
      </w:r>
      <w:r>
        <w:rPr>
          <w:rFonts w:ascii="仿宋_GB2312" w:eastAsia="仿宋_GB2312" w:hint="eastAsia"/>
          <w:sz w:val="28"/>
          <w:szCs w:val="28"/>
        </w:rPr>
        <w:t>91.75%</w:t>
      </w:r>
      <w:r>
        <w:rPr>
          <w:rFonts w:ascii="仿宋_GB2312" w:eastAsia="仿宋_GB2312" w:hint="eastAsia"/>
          <w:sz w:val="28"/>
          <w:szCs w:val="28"/>
        </w:rPr>
        <w:t>；项目支出</w:t>
      </w:r>
      <w:r>
        <w:rPr>
          <w:rFonts w:ascii="仿宋_GB2312" w:eastAsia="仿宋_GB2312"/>
          <w:sz w:val="28"/>
          <w:szCs w:val="28"/>
        </w:rPr>
        <w:t>479.26</w:t>
      </w:r>
      <w:r>
        <w:rPr>
          <w:rFonts w:ascii="仿宋_GB2312" w:eastAsia="仿宋_GB2312" w:hint="eastAsia"/>
          <w:sz w:val="28"/>
          <w:szCs w:val="28"/>
        </w:rPr>
        <w:t>万元，占支出合计的</w:t>
      </w:r>
      <w:r>
        <w:rPr>
          <w:rFonts w:ascii="仿宋_GB2312" w:eastAsia="仿宋_GB2312" w:hint="eastAsia"/>
          <w:sz w:val="28"/>
          <w:szCs w:val="28"/>
        </w:rPr>
        <w:t>8.25%;</w:t>
      </w:r>
      <w:r>
        <w:rPr>
          <w:rFonts w:ascii="仿宋_GB2312" w:eastAsia="仿宋_GB2312" w:hint="eastAsia"/>
          <w:sz w:val="28"/>
          <w:szCs w:val="28"/>
        </w:rPr>
        <w:t>上缴上级支出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；经营支出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；对附属单位补助支出</w:t>
      </w:r>
      <w:r>
        <w:rPr>
          <w:rFonts w:ascii="仿宋_GB2312" w:eastAsia="仿宋_GB2312"/>
          <w:sz w:val="28"/>
          <w:szCs w:val="28"/>
        </w:rPr>
        <w:t>0</w:t>
      </w:r>
      <w:r>
        <w:rPr>
          <w:rFonts w:ascii="仿宋_GB2312" w:eastAsia="仿宋_GB2312" w:hint="eastAsia"/>
          <w:sz w:val="28"/>
          <w:szCs w:val="28"/>
        </w:rPr>
        <w:t>万元，占支出合计的</w:t>
      </w:r>
      <w:r>
        <w:rPr>
          <w:rFonts w:ascii="仿宋_GB2312" w:eastAsia="仿宋_GB2312" w:hint="eastAsia"/>
          <w:sz w:val="28"/>
          <w:szCs w:val="28"/>
        </w:rPr>
        <w:t>0%</w:t>
      </w:r>
      <w:r>
        <w:rPr>
          <w:rFonts w:ascii="仿宋_GB2312" w:eastAsia="仿宋_GB2312" w:hint="eastAsia"/>
          <w:sz w:val="28"/>
          <w:szCs w:val="28"/>
        </w:rPr>
        <w:t>。</w:t>
      </w:r>
    </w:p>
    <w:p w:rsidR="00591A0E" w:rsidRDefault="00536D96">
      <w:pPr>
        <w:pStyle w:val="2"/>
        <w:ind w:firstLine="642"/>
        <w:jc w:val="center"/>
        <w:rPr>
          <w:rFonts w:ascii="仿宋_GB2312" w:eastAsia="仿宋_GB2312"/>
          <w:color w:val="000000"/>
          <w:sz w:val="32"/>
        </w:rPr>
      </w:pPr>
      <w:r>
        <w:rPr>
          <w:rFonts w:ascii="仿宋_GB2312" w:eastAsia="仿宋_GB2312" w:hint="eastAsia"/>
          <w:color w:val="000000"/>
          <w:sz w:val="32"/>
        </w:rPr>
        <w:t>图</w:t>
      </w:r>
      <w:r>
        <w:rPr>
          <w:rFonts w:ascii="仿宋_GB2312" w:eastAsia="仿宋_GB2312" w:hint="eastAsia"/>
          <w:color w:val="000000"/>
          <w:sz w:val="32"/>
        </w:rPr>
        <w:t>2</w:t>
      </w:r>
      <w:r>
        <w:rPr>
          <w:rFonts w:ascii="仿宋_GB2312" w:eastAsia="仿宋_GB2312" w:hint="eastAsia"/>
          <w:color w:val="000000"/>
          <w:sz w:val="32"/>
        </w:rPr>
        <w:t>：基本支出和项目支出情况</w:t>
      </w:r>
    </w:p>
    <w:p w:rsidR="00591A0E" w:rsidRDefault="00536D96">
      <w:pPr>
        <w:jc w:val="center"/>
        <w:rPr>
          <w:rFonts w:ascii="黑体" w:eastAsia="黑体"/>
          <w:b/>
          <w:sz w:val="28"/>
          <w:szCs w:val="28"/>
        </w:rPr>
      </w:pPr>
      <w:r>
        <w:rPr>
          <w:noProof/>
        </w:rPr>
        <w:drawing>
          <wp:inline distT="0" distB="0" distL="114300" distR="114300">
            <wp:extent cx="4572000" cy="2743200"/>
            <wp:effectExtent l="0" t="0" r="19050" b="19050"/>
            <wp:docPr id="1" name="图表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91A0E" w:rsidRDefault="00536D96" w:rsidP="00591A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三</w:t>
      </w:r>
      <w:r>
        <w:rPr>
          <w:rFonts w:ascii="黑体" w:eastAsia="黑体"/>
          <w:b/>
          <w:sz w:val="28"/>
          <w:szCs w:val="28"/>
        </w:rPr>
        <w:t>、财政拨款</w:t>
      </w:r>
      <w:r>
        <w:rPr>
          <w:rFonts w:ascii="黑体" w:eastAsia="黑体" w:hint="eastAsia"/>
          <w:b/>
          <w:sz w:val="28"/>
          <w:szCs w:val="28"/>
        </w:rPr>
        <w:t>收入支出决算</w:t>
      </w:r>
      <w:r>
        <w:rPr>
          <w:rFonts w:ascii="黑体" w:eastAsia="黑体"/>
          <w:b/>
          <w:sz w:val="28"/>
          <w:szCs w:val="28"/>
        </w:rPr>
        <w:t>总体情况说明</w:t>
      </w:r>
    </w:p>
    <w:p w:rsidR="00591A0E" w:rsidRDefault="00536D96">
      <w:pPr>
        <w:tabs>
          <w:tab w:val="center" w:pos="6979"/>
        </w:tabs>
        <w:spacing w:line="580" w:lineRule="exact"/>
        <w:ind w:firstLine="57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年度财政拨款收、</w:t>
      </w:r>
      <w:r>
        <w:rPr>
          <w:rFonts w:ascii="仿宋_GB2312" w:eastAsia="仿宋_GB2312"/>
          <w:sz w:val="28"/>
          <w:szCs w:val="28"/>
        </w:rPr>
        <w:t>支</w:t>
      </w:r>
      <w:r>
        <w:rPr>
          <w:rFonts w:ascii="仿宋_GB2312" w:eastAsia="仿宋_GB2312" w:hint="eastAsia"/>
          <w:sz w:val="28"/>
          <w:szCs w:val="28"/>
        </w:rPr>
        <w:t>总计</w:t>
      </w:r>
      <w:r>
        <w:rPr>
          <w:rFonts w:ascii="仿宋_GB2312" w:eastAsia="仿宋_GB2312"/>
          <w:sz w:val="28"/>
          <w:szCs w:val="28"/>
        </w:rPr>
        <w:t>5467.5</w:t>
      </w:r>
      <w:r>
        <w:rPr>
          <w:rFonts w:ascii="仿宋_GB2312" w:eastAsia="仿宋_GB2312" w:hint="eastAsia"/>
          <w:sz w:val="28"/>
          <w:szCs w:val="28"/>
        </w:rPr>
        <w:t>0</w:t>
      </w:r>
      <w:r>
        <w:rPr>
          <w:rFonts w:ascii="仿宋_GB2312" w:eastAsia="仿宋_GB2312" w:hint="eastAsia"/>
          <w:sz w:val="28"/>
          <w:szCs w:val="28"/>
        </w:rPr>
        <w:t>万元，比上年减少</w:t>
      </w:r>
      <w:r>
        <w:rPr>
          <w:rFonts w:ascii="仿宋_GB2312" w:eastAsia="仿宋_GB2312" w:hint="eastAsia"/>
          <w:sz w:val="28"/>
          <w:szCs w:val="28"/>
        </w:rPr>
        <w:t>50.00</w:t>
      </w:r>
      <w:r>
        <w:rPr>
          <w:rFonts w:ascii="仿宋_GB2312" w:eastAsia="仿宋_GB2312" w:hint="eastAsia"/>
          <w:sz w:val="28"/>
          <w:szCs w:val="28"/>
        </w:rPr>
        <w:t>万元，下降</w:t>
      </w:r>
      <w:r>
        <w:rPr>
          <w:rFonts w:ascii="仿宋_GB2312" w:eastAsia="仿宋_GB2312" w:hint="eastAsia"/>
          <w:sz w:val="28"/>
          <w:szCs w:val="28"/>
        </w:rPr>
        <w:t>0.91%</w:t>
      </w:r>
      <w:r>
        <w:rPr>
          <w:rFonts w:ascii="仿宋_GB2312" w:eastAsia="仿宋_GB2312" w:hint="eastAsia"/>
          <w:sz w:val="28"/>
          <w:szCs w:val="28"/>
        </w:rPr>
        <w:t>。主要原因：落实政府过紧日子、厉行勤俭节约</w:t>
      </w:r>
      <w:r>
        <w:rPr>
          <w:rFonts w:ascii="仿宋_GB2312" w:eastAsia="仿宋_GB2312" w:hint="eastAsia"/>
          <w:sz w:val="28"/>
          <w:szCs w:val="28"/>
        </w:rPr>
        <w:t>要求，压缩一般性支出预算。</w:t>
      </w:r>
    </w:p>
    <w:p w:rsidR="00591A0E" w:rsidRDefault="00536D96" w:rsidP="00591A0E">
      <w:pPr>
        <w:tabs>
          <w:tab w:val="center" w:pos="6979"/>
        </w:tabs>
        <w:spacing w:line="580" w:lineRule="exact"/>
        <w:ind w:firstLineChars="196" w:firstLine="551"/>
        <w:rPr>
          <w:rFonts w:ascii="黑体" w:eastAsia="黑体"/>
          <w:b/>
          <w:sz w:val="28"/>
          <w:szCs w:val="28"/>
        </w:rPr>
      </w:pPr>
      <w:r>
        <w:rPr>
          <w:rFonts w:ascii="黑体" w:eastAsia="黑体" w:hint="eastAsia"/>
          <w:b/>
          <w:sz w:val="28"/>
          <w:szCs w:val="28"/>
        </w:rPr>
        <w:t>四、一般公共预算财政拨款支出决算情况说明</w:t>
      </w:r>
    </w:p>
    <w:p w:rsidR="00591A0E" w:rsidRDefault="00536D9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（一）一般公共预算财政拨款支出决算总体情况</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年度一般公共预算财政拨款支出</w:t>
      </w:r>
      <w:r>
        <w:rPr>
          <w:rFonts w:ascii="仿宋_GB2312" w:eastAsia="仿宋_GB2312"/>
          <w:sz w:val="28"/>
          <w:szCs w:val="28"/>
        </w:rPr>
        <w:t>5435.3</w:t>
      </w:r>
      <w:r>
        <w:rPr>
          <w:rFonts w:ascii="仿宋_GB2312" w:eastAsia="仿宋_GB2312" w:hint="eastAsia"/>
          <w:sz w:val="28"/>
          <w:szCs w:val="28"/>
        </w:rPr>
        <w:t>0</w:t>
      </w:r>
      <w:r>
        <w:rPr>
          <w:rFonts w:ascii="仿宋_GB2312" w:eastAsia="仿宋_GB2312" w:hint="eastAsia"/>
          <w:sz w:val="28"/>
          <w:szCs w:val="28"/>
        </w:rPr>
        <w:t>万元，主要用于以下方面（按大类）：教育支出</w:t>
      </w:r>
      <w:r>
        <w:rPr>
          <w:rFonts w:ascii="仿宋_GB2312" w:eastAsia="仿宋_GB2312" w:hint="eastAsia"/>
          <w:sz w:val="28"/>
          <w:szCs w:val="28"/>
        </w:rPr>
        <w:t>2.79</w:t>
      </w:r>
      <w:r>
        <w:rPr>
          <w:rFonts w:ascii="仿宋_GB2312" w:eastAsia="仿宋_GB2312" w:hint="eastAsia"/>
          <w:sz w:val="28"/>
          <w:szCs w:val="28"/>
        </w:rPr>
        <w:t>万元，占本年财政拨款支出</w:t>
      </w:r>
      <w:r>
        <w:rPr>
          <w:rFonts w:ascii="仿宋_GB2312" w:eastAsia="仿宋_GB2312" w:hint="eastAsia"/>
          <w:sz w:val="28"/>
          <w:szCs w:val="28"/>
        </w:rPr>
        <w:t>0.05%</w:t>
      </w:r>
      <w:r>
        <w:rPr>
          <w:rFonts w:ascii="仿宋_GB2312" w:eastAsia="仿宋_GB2312" w:hint="eastAsia"/>
          <w:sz w:val="28"/>
          <w:szCs w:val="28"/>
        </w:rPr>
        <w:t>；文化旅游体育与传媒支出</w:t>
      </w:r>
      <w:r>
        <w:rPr>
          <w:rFonts w:ascii="仿宋_GB2312" w:eastAsia="仿宋_GB2312" w:hint="eastAsia"/>
          <w:sz w:val="28"/>
          <w:szCs w:val="28"/>
        </w:rPr>
        <w:t>5432.51</w:t>
      </w:r>
      <w:r>
        <w:rPr>
          <w:rFonts w:ascii="仿宋_GB2312" w:eastAsia="仿宋_GB2312" w:hint="eastAsia"/>
          <w:sz w:val="28"/>
          <w:szCs w:val="28"/>
        </w:rPr>
        <w:t>万元，占本年财政拨款支出</w:t>
      </w:r>
      <w:r>
        <w:rPr>
          <w:rFonts w:ascii="仿宋_GB2312" w:eastAsia="仿宋_GB2312" w:hint="eastAsia"/>
          <w:sz w:val="28"/>
          <w:szCs w:val="28"/>
        </w:rPr>
        <w:t>99.95%</w:t>
      </w:r>
      <w:r>
        <w:rPr>
          <w:rFonts w:ascii="仿宋_GB2312" w:eastAsia="仿宋_GB2312" w:hint="eastAsia"/>
          <w:sz w:val="28"/>
          <w:szCs w:val="28"/>
        </w:rPr>
        <w:t>。</w:t>
      </w:r>
    </w:p>
    <w:p w:rsidR="00591A0E" w:rsidRDefault="00536D96">
      <w:pPr>
        <w:tabs>
          <w:tab w:val="center" w:pos="6979"/>
        </w:tabs>
        <w:spacing w:line="580" w:lineRule="exact"/>
        <w:ind w:firstLineChars="200" w:firstLine="560"/>
        <w:rPr>
          <w:rFonts w:ascii="仿宋_GB2312" w:eastAsia="仿宋_GB2312"/>
          <w:sz w:val="28"/>
          <w:szCs w:val="28"/>
        </w:rPr>
      </w:pPr>
      <w:r>
        <w:rPr>
          <w:rFonts w:ascii="仿宋_GB2312" w:eastAsia="仿宋_GB2312" w:hint="eastAsia"/>
          <w:sz w:val="28"/>
          <w:szCs w:val="28"/>
        </w:rPr>
        <w:t>（二）一般公共预算财政拨款支出决算具体情况</w:t>
      </w:r>
    </w:p>
    <w:p w:rsidR="00591A0E" w:rsidRDefault="00536D9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、“教育支出”（类）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3.84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2.79</w:t>
      </w:r>
      <w:r>
        <w:rPr>
          <w:rFonts w:ascii="仿宋_GB2312" w:eastAsia="仿宋_GB2312" w:hint="eastAsia"/>
          <w:sz w:val="28"/>
          <w:szCs w:val="28"/>
        </w:rPr>
        <w:t>万元，完成年初预算的</w:t>
      </w:r>
      <w:r>
        <w:rPr>
          <w:rFonts w:ascii="仿宋_GB2312" w:eastAsia="仿宋_GB2312" w:hint="eastAsia"/>
          <w:sz w:val="28"/>
          <w:szCs w:val="28"/>
        </w:rPr>
        <w:t>72.66%</w:t>
      </w:r>
      <w:r>
        <w:rPr>
          <w:rFonts w:ascii="仿宋_GB2312" w:eastAsia="仿宋_GB2312" w:hint="eastAsia"/>
          <w:sz w:val="28"/>
          <w:szCs w:val="28"/>
        </w:rPr>
        <w:t>。</w:t>
      </w:r>
    </w:p>
    <w:p w:rsidR="00591A0E" w:rsidRDefault="00536D96">
      <w:pPr>
        <w:autoSpaceDE w:val="0"/>
        <w:autoSpaceDN w:val="0"/>
        <w:adjustRightInd w:val="0"/>
        <w:spacing w:line="580" w:lineRule="exact"/>
        <w:jc w:val="left"/>
        <w:rPr>
          <w:rFonts w:ascii="仿宋_GB2312" w:eastAsia="仿宋_GB2312"/>
          <w:sz w:val="28"/>
          <w:szCs w:val="28"/>
        </w:rPr>
      </w:pPr>
      <w:r>
        <w:rPr>
          <w:rFonts w:ascii="仿宋_GB2312" w:eastAsia="仿宋_GB2312" w:hint="eastAsia"/>
          <w:sz w:val="28"/>
          <w:szCs w:val="28"/>
        </w:rPr>
        <w:t>其中：</w:t>
      </w:r>
    </w:p>
    <w:p w:rsidR="00591A0E" w:rsidRDefault="00536D96">
      <w:pPr>
        <w:spacing w:line="580" w:lineRule="exact"/>
        <w:ind w:firstLineChars="200" w:firstLine="560"/>
        <w:rPr>
          <w:rFonts w:ascii="仿宋_GB2312" w:eastAsia="仿宋_GB2312"/>
          <w:sz w:val="28"/>
          <w:szCs w:val="28"/>
        </w:rPr>
      </w:pPr>
      <w:r>
        <w:rPr>
          <w:rFonts w:ascii="仿宋_GB2312" w:eastAsia="仿宋_GB2312" w:hint="eastAsia"/>
          <w:sz w:val="28"/>
          <w:szCs w:val="28"/>
        </w:rPr>
        <w:t>“进修及培训”（款）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3.84</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2.79</w:t>
      </w:r>
      <w:r>
        <w:rPr>
          <w:rFonts w:ascii="仿宋_GB2312" w:eastAsia="仿宋_GB2312" w:hint="eastAsia"/>
          <w:sz w:val="28"/>
          <w:szCs w:val="28"/>
        </w:rPr>
        <w:t>万元，完成年初预算的</w:t>
      </w:r>
      <w:r>
        <w:rPr>
          <w:rFonts w:ascii="仿宋_GB2312" w:eastAsia="仿宋_GB2312" w:hint="eastAsia"/>
          <w:sz w:val="28"/>
          <w:szCs w:val="28"/>
        </w:rPr>
        <w:t>72.66%</w:t>
      </w:r>
      <w:r>
        <w:rPr>
          <w:rFonts w:ascii="仿宋_GB2312" w:eastAsia="仿宋_GB2312" w:hint="eastAsia"/>
          <w:sz w:val="28"/>
          <w:szCs w:val="28"/>
        </w:rPr>
        <w:t>。主要原因：落实政府过紧日子、厉行勤俭节约要求，合理安排培训方式，压减培训费支出资金。</w:t>
      </w:r>
    </w:p>
    <w:p w:rsidR="00591A0E" w:rsidRDefault="00536D96">
      <w:pPr>
        <w:spacing w:line="580" w:lineRule="exact"/>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、“文化旅游体育与传媒支出”</w:t>
      </w:r>
      <w:r>
        <w:rPr>
          <w:rFonts w:ascii="仿宋_GB2312" w:eastAsia="仿宋_GB2312" w:hint="eastAsia"/>
          <w:sz w:val="28"/>
          <w:szCs w:val="28"/>
        </w:rPr>
        <w:t>(</w:t>
      </w:r>
      <w:r>
        <w:rPr>
          <w:rFonts w:ascii="仿宋_GB2312" w:eastAsia="仿宋_GB2312" w:hint="eastAsia"/>
          <w:sz w:val="28"/>
          <w:szCs w:val="28"/>
        </w:rPr>
        <w:t>类</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5463.66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5432.51</w:t>
      </w:r>
      <w:r>
        <w:rPr>
          <w:rFonts w:ascii="仿宋_GB2312" w:eastAsia="仿宋_GB2312" w:hint="eastAsia"/>
          <w:sz w:val="28"/>
          <w:szCs w:val="28"/>
        </w:rPr>
        <w:t>万元，完成年初预算的</w:t>
      </w:r>
      <w:r>
        <w:rPr>
          <w:rFonts w:ascii="仿宋_GB2312" w:eastAsia="仿宋_GB2312" w:hint="eastAsia"/>
          <w:sz w:val="28"/>
          <w:szCs w:val="28"/>
        </w:rPr>
        <w:t>99.43%</w:t>
      </w:r>
      <w:r>
        <w:rPr>
          <w:rFonts w:ascii="仿宋_GB2312" w:eastAsia="仿宋_GB2312" w:hint="eastAsia"/>
          <w:sz w:val="28"/>
          <w:szCs w:val="28"/>
        </w:rPr>
        <w:t>。其中：</w:t>
      </w:r>
    </w:p>
    <w:p w:rsidR="00591A0E" w:rsidRDefault="00536D96" w:rsidP="00246C13">
      <w:pPr>
        <w:ind w:firstLineChars="202" w:firstLine="566"/>
        <w:rPr>
          <w:rFonts w:ascii="仿宋_GB2312" w:eastAsia="仿宋_GB2312"/>
          <w:sz w:val="28"/>
          <w:szCs w:val="28"/>
        </w:rPr>
      </w:pPr>
      <w:r>
        <w:rPr>
          <w:rFonts w:ascii="仿宋_GB2312" w:eastAsia="仿宋_GB2312" w:hint="eastAsia"/>
          <w:sz w:val="28"/>
          <w:szCs w:val="28"/>
        </w:rPr>
        <w:t>“文化和旅游”（款）</w:t>
      </w:r>
      <w:r>
        <w:rPr>
          <w:rFonts w:ascii="仿宋_GB2312" w:eastAsia="仿宋_GB2312" w:hint="eastAsia"/>
          <w:sz w:val="28"/>
          <w:szCs w:val="28"/>
        </w:rPr>
        <w:t>2024</w:t>
      </w:r>
      <w:r>
        <w:rPr>
          <w:rFonts w:ascii="仿宋_GB2312" w:eastAsia="仿宋_GB2312" w:hint="eastAsia"/>
          <w:sz w:val="28"/>
          <w:szCs w:val="28"/>
        </w:rPr>
        <w:t>年度年初预算</w:t>
      </w:r>
      <w:r>
        <w:rPr>
          <w:rFonts w:ascii="仿宋_GB2312" w:eastAsia="仿宋_GB2312" w:hint="eastAsia"/>
          <w:sz w:val="28"/>
          <w:szCs w:val="28"/>
        </w:rPr>
        <w:t>5463.66</w:t>
      </w:r>
      <w:r>
        <w:rPr>
          <w:rFonts w:ascii="仿宋_GB2312" w:eastAsia="仿宋_GB2312" w:hint="eastAsia"/>
          <w:sz w:val="28"/>
          <w:szCs w:val="28"/>
        </w:rPr>
        <w:t>万元，</w:t>
      </w:r>
      <w:r>
        <w:rPr>
          <w:rFonts w:ascii="仿宋_GB2312" w:eastAsia="仿宋_GB2312" w:hint="eastAsia"/>
          <w:sz w:val="28"/>
          <w:szCs w:val="28"/>
        </w:rPr>
        <w:t>2024</w:t>
      </w:r>
      <w:r>
        <w:rPr>
          <w:rFonts w:ascii="仿宋_GB2312" w:eastAsia="仿宋_GB2312" w:hint="eastAsia"/>
          <w:sz w:val="28"/>
          <w:szCs w:val="28"/>
        </w:rPr>
        <w:t>年度决算</w:t>
      </w:r>
      <w:r>
        <w:rPr>
          <w:rFonts w:ascii="仿宋_GB2312" w:eastAsia="仿宋_GB2312" w:hint="eastAsia"/>
          <w:sz w:val="28"/>
          <w:szCs w:val="28"/>
        </w:rPr>
        <w:t>5432.51</w:t>
      </w:r>
      <w:r>
        <w:rPr>
          <w:rFonts w:ascii="仿宋_GB2312" w:eastAsia="仿宋_GB2312" w:hint="eastAsia"/>
          <w:sz w:val="28"/>
          <w:szCs w:val="28"/>
        </w:rPr>
        <w:t>万元，完成年初预算的</w:t>
      </w:r>
      <w:r>
        <w:rPr>
          <w:rFonts w:ascii="仿宋_GB2312" w:eastAsia="仿宋_GB2312" w:hint="eastAsia"/>
          <w:sz w:val="28"/>
          <w:szCs w:val="28"/>
        </w:rPr>
        <w:t>99.43%</w:t>
      </w:r>
      <w:r>
        <w:rPr>
          <w:rFonts w:ascii="仿宋_GB2312" w:eastAsia="仿宋_GB2312" w:hint="eastAsia"/>
          <w:sz w:val="28"/>
          <w:szCs w:val="28"/>
        </w:rPr>
        <w:t>。</w:t>
      </w:r>
      <w:r w:rsidR="00246C13" w:rsidRPr="00246C13">
        <w:rPr>
          <w:rFonts w:ascii="仿宋_GB2312" w:eastAsia="仿宋_GB2312" w:hint="eastAsia"/>
          <w:sz w:val="28"/>
          <w:szCs w:val="28"/>
          <w:highlight w:val="yellow"/>
        </w:rPr>
        <w:t>主要原因：落实政府过紧日子、厉行勤俭节约要求，压缩一般性支出预算。</w:t>
      </w:r>
    </w:p>
    <w:p w:rsidR="00591A0E" w:rsidRDefault="00536D96" w:rsidP="00591A0E">
      <w:pPr>
        <w:spacing w:line="580" w:lineRule="exact"/>
        <w:ind w:firstLineChars="200" w:firstLine="562"/>
        <w:rPr>
          <w:rFonts w:ascii="仿宋_GB2312" w:eastAsia="仿宋_GB2312"/>
          <w:sz w:val="28"/>
          <w:szCs w:val="28"/>
        </w:rPr>
      </w:pPr>
      <w:r>
        <w:rPr>
          <w:rFonts w:ascii="黑体" w:eastAsia="黑体" w:hint="eastAsia"/>
          <w:b/>
          <w:sz w:val="28"/>
          <w:szCs w:val="28"/>
        </w:rPr>
        <w:t>五、政府性基金预算财政拨款支出决算情况说明</w:t>
      </w:r>
    </w:p>
    <w:p w:rsidR="00591A0E" w:rsidRDefault="00536D96">
      <w:pPr>
        <w:autoSpaceDE w:val="0"/>
        <w:autoSpaceDN w:val="0"/>
        <w:adjustRightInd w:val="0"/>
        <w:spacing w:line="580" w:lineRule="exact"/>
        <w:ind w:firstLineChars="200" w:firstLine="560"/>
        <w:jc w:val="left"/>
        <w:rPr>
          <w:rFonts w:ascii="仿宋_GB2312" w:eastAsia="仿宋_GB2312"/>
          <w:sz w:val="28"/>
          <w:szCs w:val="28"/>
        </w:rPr>
      </w:pPr>
      <w:r>
        <w:rPr>
          <w:rFonts w:ascii="仿宋_GB2312" w:eastAsia="仿宋_GB2312" w:hint="eastAsia"/>
          <w:sz w:val="28"/>
          <w:szCs w:val="28"/>
        </w:rPr>
        <w:t>本单位无此项支出。</w:t>
      </w:r>
    </w:p>
    <w:p w:rsidR="00591A0E" w:rsidRDefault="00536D96" w:rsidP="00591A0E">
      <w:pPr>
        <w:spacing w:line="580" w:lineRule="exact"/>
        <w:ind w:firstLineChars="200" w:firstLine="562"/>
        <w:rPr>
          <w:rFonts w:ascii="黑体" w:eastAsia="黑体"/>
          <w:b/>
          <w:sz w:val="28"/>
          <w:szCs w:val="28"/>
        </w:rPr>
      </w:pPr>
      <w:r>
        <w:rPr>
          <w:rFonts w:ascii="黑体" w:eastAsia="黑体" w:hint="eastAsia"/>
          <w:b/>
          <w:sz w:val="28"/>
          <w:szCs w:val="28"/>
        </w:rPr>
        <w:t>六、国有资本经营预算财</w:t>
      </w:r>
      <w:r>
        <w:rPr>
          <w:rFonts w:ascii="黑体" w:eastAsia="黑体"/>
          <w:b/>
          <w:sz w:val="28"/>
          <w:szCs w:val="28"/>
        </w:rPr>
        <w:t>政拨款</w:t>
      </w:r>
      <w:r>
        <w:rPr>
          <w:rFonts w:ascii="黑体" w:eastAsia="黑体" w:hint="eastAsia"/>
          <w:b/>
          <w:sz w:val="28"/>
          <w:szCs w:val="28"/>
        </w:rPr>
        <w:t>收支情况</w:t>
      </w:r>
    </w:p>
    <w:p w:rsidR="00591A0E" w:rsidRDefault="00536D96" w:rsidP="00591A0E">
      <w:pPr>
        <w:ind w:firstLineChars="192" w:firstLine="538"/>
        <w:rPr>
          <w:rFonts w:ascii="仿宋_GB2312" w:eastAsia="仿宋_GB2312"/>
          <w:sz w:val="28"/>
          <w:szCs w:val="28"/>
        </w:rPr>
      </w:pPr>
      <w:r>
        <w:rPr>
          <w:rFonts w:ascii="仿宋_GB2312" w:eastAsia="仿宋_GB2312" w:hint="eastAsia"/>
          <w:sz w:val="28"/>
          <w:szCs w:val="28"/>
        </w:rPr>
        <w:t>本单位无此项支出。</w:t>
      </w:r>
    </w:p>
    <w:p w:rsidR="00591A0E" w:rsidRDefault="00536D96" w:rsidP="00591A0E">
      <w:pPr>
        <w:spacing w:line="580" w:lineRule="exact"/>
        <w:ind w:firstLineChars="196" w:firstLine="551"/>
        <w:rPr>
          <w:rFonts w:ascii="黑体" w:eastAsia="黑体"/>
          <w:sz w:val="28"/>
          <w:szCs w:val="28"/>
        </w:rPr>
      </w:pPr>
      <w:r>
        <w:rPr>
          <w:rFonts w:ascii="黑体" w:eastAsia="黑体" w:hint="eastAsia"/>
          <w:b/>
          <w:sz w:val="28"/>
          <w:szCs w:val="28"/>
        </w:rPr>
        <w:t>七、财政拨款基本支出决算情况说明</w:t>
      </w:r>
    </w:p>
    <w:p w:rsidR="00591A0E" w:rsidRDefault="00536D96" w:rsidP="00591A0E">
      <w:pPr>
        <w:tabs>
          <w:tab w:val="center" w:pos="6979"/>
        </w:tabs>
        <w:spacing w:line="580" w:lineRule="exact"/>
        <w:ind w:firstLineChars="196" w:firstLine="549"/>
        <w:rPr>
          <w:rFonts w:ascii="黑体" w:eastAsia="黑体"/>
          <w:b/>
          <w:sz w:val="28"/>
          <w:szCs w:val="28"/>
        </w:rPr>
      </w:pPr>
      <w:r>
        <w:rPr>
          <w:rFonts w:ascii="仿宋_GB2312" w:eastAsia="仿宋_GB2312" w:hint="eastAsia"/>
          <w:sz w:val="28"/>
          <w:szCs w:val="28"/>
        </w:rPr>
        <w:t>2024</w:t>
      </w:r>
      <w:r>
        <w:rPr>
          <w:rFonts w:ascii="仿宋_GB2312" w:eastAsia="仿宋_GB2312" w:hint="eastAsia"/>
          <w:sz w:val="28"/>
          <w:szCs w:val="28"/>
        </w:rPr>
        <w:t>年度使用一般公共预算财政拨款安排基本支出</w:t>
      </w:r>
      <w:r>
        <w:rPr>
          <w:rFonts w:ascii="仿宋_GB2312" w:eastAsia="仿宋_GB2312"/>
          <w:sz w:val="28"/>
          <w:szCs w:val="28"/>
        </w:rPr>
        <w:t>5132.61</w:t>
      </w:r>
      <w:r>
        <w:rPr>
          <w:rFonts w:ascii="仿宋_GB2312" w:eastAsia="仿宋_GB2312" w:hint="eastAsia"/>
          <w:sz w:val="28"/>
          <w:szCs w:val="28"/>
        </w:rPr>
        <w:t>万元，使用政府性基金财政拨款安排基本支出</w:t>
      </w:r>
      <w:r>
        <w:rPr>
          <w:rFonts w:ascii="仿宋_GB2312" w:eastAsia="仿宋_GB2312"/>
          <w:sz w:val="28"/>
          <w:szCs w:val="28"/>
        </w:rPr>
        <w:t>0</w:t>
      </w:r>
      <w:r>
        <w:rPr>
          <w:rFonts w:ascii="仿宋_GB2312" w:eastAsia="仿宋_GB2312" w:hint="eastAsia"/>
          <w:sz w:val="28"/>
          <w:szCs w:val="28"/>
        </w:rPr>
        <w:t>万元，（</w:t>
      </w:r>
      <w:r>
        <w:rPr>
          <w:rFonts w:ascii="仿宋_GB2312" w:eastAsia="仿宋_GB2312" w:hint="eastAsia"/>
          <w:sz w:val="28"/>
          <w:szCs w:val="28"/>
        </w:rPr>
        <w:t>1</w:t>
      </w:r>
      <w:r>
        <w:rPr>
          <w:rFonts w:ascii="仿宋_GB2312" w:eastAsia="仿宋_GB2312" w:hint="eastAsia"/>
          <w:sz w:val="28"/>
          <w:szCs w:val="28"/>
        </w:rPr>
        <w:t>）工资福利支出包括基本工资</w:t>
      </w:r>
      <w:r>
        <w:rPr>
          <w:rFonts w:ascii="仿宋_GB2312" w:eastAsia="仿宋_GB2312"/>
          <w:sz w:val="28"/>
          <w:szCs w:val="28"/>
        </w:rPr>
        <w:t>、津贴补贴、奖金、伙食补助费、绩效工资、</w:t>
      </w:r>
      <w:r>
        <w:rPr>
          <w:rFonts w:ascii="仿宋_GB2312" w:eastAsia="仿宋_GB2312" w:hint="eastAsia"/>
          <w:sz w:val="28"/>
          <w:szCs w:val="28"/>
        </w:rPr>
        <w:t>其他</w:t>
      </w:r>
      <w:r>
        <w:rPr>
          <w:rFonts w:ascii="仿宋_GB2312" w:eastAsia="仿宋_GB2312"/>
          <w:sz w:val="28"/>
          <w:szCs w:val="28"/>
        </w:rPr>
        <w:t>社会保障缴费、其他工资福利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2</w:t>
      </w:r>
      <w:r>
        <w:rPr>
          <w:rFonts w:ascii="仿宋_GB2312" w:eastAsia="仿宋_GB2312" w:hint="eastAsia"/>
          <w:sz w:val="28"/>
          <w:szCs w:val="28"/>
        </w:rPr>
        <w:t>）商品和服务支出包括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3</w:t>
      </w:r>
      <w:r>
        <w:rPr>
          <w:rFonts w:ascii="仿宋_GB2312" w:eastAsia="仿宋_GB2312" w:hint="eastAsia"/>
          <w:sz w:val="28"/>
          <w:szCs w:val="28"/>
        </w:rPr>
        <w:t>）对个人和家庭补助支出包括</w:t>
      </w:r>
      <w:r>
        <w:rPr>
          <w:rFonts w:ascii="仿宋_GB2312" w:eastAsia="仿宋_GB2312"/>
          <w:sz w:val="28"/>
          <w:szCs w:val="28"/>
        </w:rPr>
        <w:t>离休费、退休费、抚恤金、生活补助、</w:t>
      </w:r>
      <w:r>
        <w:rPr>
          <w:rFonts w:ascii="仿宋_GB2312" w:eastAsia="仿宋_GB2312" w:hint="eastAsia"/>
          <w:sz w:val="28"/>
          <w:szCs w:val="28"/>
        </w:rPr>
        <w:t>救济费</w:t>
      </w:r>
      <w:r>
        <w:rPr>
          <w:rFonts w:ascii="仿宋_GB2312" w:eastAsia="仿宋_GB2312"/>
          <w:sz w:val="28"/>
          <w:szCs w:val="28"/>
        </w:rPr>
        <w:t>、医疗费</w:t>
      </w:r>
      <w:r>
        <w:rPr>
          <w:rFonts w:ascii="仿宋_GB2312" w:eastAsia="仿宋_GB2312" w:hint="eastAsia"/>
          <w:sz w:val="28"/>
          <w:szCs w:val="28"/>
        </w:rPr>
        <w:t>补助</w:t>
      </w:r>
      <w:r>
        <w:rPr>
          <w:rFonts w:ascii="仿宋_GB2312" w:eastAsia="仿宋_GB2312"/>
          <w:sz w:val="28"/>
          <w:szCs w:val="28"/>
        </w:rPr>
        <w:t>、助学金、奖励金</w:t>
      </w:r>
      <w:r>
        <w:rPr>
          <w:rFonts w:ascii="仿宋_GB2312" w:eastAsia="仿宋_GB2312" w:hint="eastAsia"/>
          <w:sz w:val="28"/>
          <w:szCs w:val="28"/>
        </w:rPr>
        <w:t>、</w:t>
      </w:r>
      <w:r>
        <w:rPr>
          <w:rFonts w:ascii="仿宋_GB2312" w:eastAsia="仿宋_GB2312"/>
          <w:sz w:val="28"/>
          <w:szCs w:val="28"/>
        </w:rPr>
        <w:t>其他对个人和家庭的补助</w:t>
      </w:r>
      <w:r>
        <w:rPr>
          <w:rFonts w:ascii="仿宋_GB2312" w:eastAsia="仿宋_GB2312" w:hint="eastAsia"/>
          <w:sz w:val="28"/>
          <w:szCs w:val="28"/>
        </w:rPr>
        <w:t>等</w:t>
      </w:r>
      <w:r>
        <w:rPr>
          <w:rFonts w:ascii="仿宋_GB2312" w:eastAsia="仿宋_GB2312"/>
          <w:sz w:val="28"/>
          <w:szCs w:val="28"/>
        </w:rPr>
        <w:t>支出</w:t>
      </w:r>
      <w:r>
        <w:rPr>
          <w:rFonts w:ascii="仿宋_GB2312" w:eastAsia="仿宋_GB2312" w:hint="eastAsia"/>
          <w:sz w:val="28"/>
          <w:szCs w:val="28"/>
        </w:rPr>
        <w:t>。（</w:t>
      </w:r>
      <w:r>
        <w:rPr>
          <w:rFonts w:ascii="仿宋_GB2312" w:eastAsia="仿宋_GB2312" w:hint="eastAsia"/>
          <w:sz w:val="28"/>
          <w:szCs w:val="28"/>
        </w:rPr>
        <w:t>4</w:t>
      </w:r>
      <w:r>
        <w:rPr>
          <w:rFonts w:ascii="仿宋_GB2312" w:eastAsia="仿宋_GB2312" w:hint="eastAsia"/>
          <w:sz w:val="28"/>
          <w:szCs w:val="28"/>
        </w:rPr>
        <w:t>）其他资本性支出包括</w:t>
      </w:r>
      <w:r>
        <w:rPr>
          <w:rFonts w:ascii="仿宋_GB2312" w:eastAsia="仿宋_GB2312"/>
          <w:sz w:val="28"/>
          <w:szCs w:val="28"/>
        </w:rPr>
        <w:t>办公设备购置、专用设备购置</w:t>
      </w:r>
      <w:r>
        <w:rPr>
          <w:rFonts w:ascii="仿宋_GB2312" w:eastAsia="仿宋_GB2312" w:hint="eastAsia"/>
          <w:sz w:val="28"/>
          <w:szCs w:val="28"/>
        </w:rPr>
        <w:t>等</w:t>
      </w:r>
      <w:r>
        <w:rPr>
          <w:rFonts w:ascii="仿宋_GB2312" w:eastAsia="仿宋_GB2312"/>
          <w:sz w:val="28"/>
          <w:szCs w:val="28"/>
        </w:rPr>
        <w:t>。</w:t>
      </w:r>
    </w:p>
    <w:p w:rsidR="00591A0E" w:rsidRDefault="00536D96">
      <w:pPr>
        <w:autoSpaceDE w:val="0"/>
        <w:autoSpaceDN w:val="0"/>
        <w:adjustRightInd w:val="0"/>
        <w:spacing w:line="580" w:lineRule="exact"/>
        <w:rPr>
          <w:rFonts w:ascii="宋体" w:hAnsi="宋体"/>
          <w:b/>
          <w:spacing w:val="40"/>
          <w:sz w:val="32"/>
          <w:szCs w:val="32"/>
        </w:rPr>
      </w:pPr>
      <w:r>
        <w:rPr>
          <w:rFonts w:ascii="仿宋_GB2312" w:eastAsia="仿宋_GB2312"/>
          <w:b/>
          <w:sz w:val="32"/>
          <w:szCs w:val="32"/>
        </w:rPr>
        <w:tab/>
      </w:r>
    </w:p>
    <w:p w:rsidR="00591A0E" w:rsidRDefault="00536D96">
      <w:pPr>
        <w:tabs>
          <w:tab w:val="center" w:pos="6979"/>
        </w:tabs>
        <w:jc w:val="center"/>
        <w:rPr>
          <w:rFonts w:ascii="宋体" w:hAnsi="宋体" w:cs="宋体"/>
          <w:b/>
          <w:spacing w:val="40"/>
          <w:kern w:val="0"/>
          <w:sz w:val="32"/>
          <w:szCs w:val="32"/>
        </w:rPr>
      </w:pPr>
      <w:r>
        <w:rPr>
          <w:rFonts w:ascii="宋体" w:hAnsi="宋体" w:cs="宋体" w:hint="eastAsia"/>
          <w:b/>
          <w:bCs/>
          <w:spacing w:val="40"/>
          <w:kern w:val="0"/>
          <w:sz w:val="32"/>
          <w:szCs w:val="32"/>
        </w:rPr>
        <w:t>第三部分</w:t>
      </w:r>
      <w:r>
        <w:rPr>
          <w:rFonts w:ascii="宋体" w:hAnsi="宋体" w:hint="eastAsia"/>
          <w:b/>
          <w:spacing w:val="40"/>
          <w:sz w:val="32"/>
          <w:szCs w:val="32"/>
        </w:rPr>
        <w:t>2024</w:t>
      </w:r>
      <w:r>
        <w:rPr>
          <w:rFonts w:ascii="宋体" w:hAnsi="宋体" w:hint="eastAsia"/>
          <w:b/>
          <w:spacing w:val="40"/>
          <w:sz w:val="32"/>
          <w:szCs w:val="32"/>
        </w:rPr>
        <w:t>年度</w:t>
      </w:r>
      <w:r>
        <w:rPr>
          <w:rFonts w:ascii="宋体" w:hAnsi="宋体" w:cs="宋体" w:hint="eastAsia"/>
          <w:b/>
          <w:spacing w:val="40"/>
          <w:kern w:val="0"/>
          <w:sz w:val="32"/>
          <w:szCs w:val="32"/>
        </w:rPr>
        <w:t>其他重要事项的情况说明</w:t>
      </w:r>
    </w:p>
    <w:p w:rsidR="00591A0E" w:rsidRDefault="00536D96">
      <w:pPr>
        <w:spacing w:line="560" w:lineRule="exact"/>
        <w:ind w:firstLineChars="200" w:firstLine="560"/>
        <w:rPr>
          <w:rFonts w:ascii="黑体" w:eastAsia="黑体"/>
          <w:sz w:val="28"/>
          <w:szCs w:val="28"/>
        </w:rPr>
      </w:pPr>
      <w:r>
        <w:rPr>
          <w:rFonts w:ascii="黑体" w:eastAsia="黑体" w:hint="eastAsia"/>
          <w:sz w:val="28"/>
          <w:szCs w:val="28"/>
        </w:rPr>
        <w:t>一、“三公”经费财政拨款决算情况</w:t>
      </w:r>
    </w:p>
    <w:p w:rsidR="00591A0E" w:rsidRDefault="00536D96">
      <w:pPr>
        <w:spacing w:line="560" w:lineRule="exact"/>
        <w:ind w:firstLine="600"/>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年度“三公”经费财政拨款决算数</w:t>
      </w:r>
      <w:r>
        <w:rPr>
          <w:rFonts w:ascii="仿宋_GB2312" w:eastAsia="仿宋_GB2312"/>
          <w:sz w:val="28"/>
          <w:szCs w:val="28"/>
        </w:rPr>
        <w:t>0.45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年度“三公”经费财政拨款年初预算</w:t>
      </w:r>
      <w:r>
        <w:rPr>
          <w:rFonts w:ascii="仿宋_GB2312" w:eastAsia="仿宋_GB2312"/>
          <w:sz w:val="28"/>
          <w:szCs w:val="28"/>
        </w:rPr>
        <w:t>4</w:t>
      </w:r>
      <w:r>
        <w:rPr>
          <w:rFonts w:ascii="仿宋_GB2312" w:eastAsia="仿宋_GB2312" w:hint="eastAsia"/>
          <w:sz w:val="28"/>
          <w:szCs w:val="28"/>
        </w:rPr>
        <w:t>万元减少</w:t>
      </w:r>
      <w:r>
        <w:rPr>
          <w:rFonts w:ascii="仿宋_GB2312" w:eastAsia="仿宋_GB2312"/>
          <w:sz w:val="28"/>
          <w:szCs w:val="28"/>
        </w:rPr>
        <w:t>3.55</w:t>
      </w:r>
      <w:r>
        <w:rPr>
          <w:rFonts w:ascii="仿宋_GB2312" w:eastAsia="仿宋_GB2312" w:hint="eastAsia"/>
          <w:sz w:val="28"/>
          <w:szCs w:val="28"/>
        </w:rPr>
        <w:t>万元。其中：</w:t>
      </w:r>
    </w:p>
    <w:p w:rsidR="00591A0E" w:rsidRDefault="00536D96">
      <w:pPr>
        <w:spacing w:line="560" w:lineRule="exact"/>
        <w:ind w:firstLine="60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因公出国（境）费用。</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w:t>
      </w:r>
    </w:p>
    <w:p w:rsidR="00591A0E" w:rsidRDefault="00536D96">
      <w:pPr>
        <w:spacing w:line="560" w:lineRule="exact"/>
        <w:ind w:firstLine="60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公务接待费。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w:t>
      </w:r>
      <w:r>
        <w:rPr>
          <w:rFonts w:ascii="仿宋_GB2312" w:eastAsia="仿宋_GB2312" w:hint="eastAsia"/>
          <w:sz w:val="28"/>
          <w:szCs w:val="28"/>
        </w:rPr>
        <w:t>万元，与</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0</w:t>
      </w:r>
      <w:r>
        <w:rPr>
          <w:rFonts w:ascii="仿宋_GB2312" w:eastAsia="仿宋_GB2312" w:hint="eastAsia"/>
          <w:sz w:val="28"/>
          <w:szCs w:val="28"/>
        </w:rPr>
        <w:t>万元持平。</w:t>
      </w:r>
    </w:p>
    <w:p w:rsidR="00591A0E" w:rsidRDefault="00536D96">
      <w:pPr>
        <w:spacing w:line="560" w:lineRule="exact"/>
        <w:ind w:firstLineChars="200" w:firstLine="560"/>
        <w:rPr>
          <w:rFonts w:ascii="仿宋_GB2312" w:eastAsia="仿宋_GB2312"/>
          <w:sz w:val="28"/>
          <w:szCs w:val="28"/>
        </w:rPr>
      </w:pPr>
      <w:r>
        <w:rPr>
          <w:rFonts w:ascii="仿宋_GB2312" w:eastAsia="仿宋_GB2312" w:hint="eastAsia"/>
          <w:sz w:val="28"/>
          <w:szCs w:val="28"/>
        </w:rPr>
        <w:t>3.</w:t>
      </w:r>
      <w:r>
        <w:rPr>
          <w:rFonts w:ascii="仿宋_GB2312" w:eastAsia="仿宋_GB2312" w:hint="eastAsia"/>
          <w:sz w:val="28"/>
          <w:szCs w:val="28"/>
        </w:rPr>
        <w:t>公务用车购置及运行维护费。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sz w:val="28"/>
          <w:szCs w:val="28"/>
        </w:rPr>
        <w:t>0.45</w:t>
      </w:r>
      <w:r>
        <w:rPr>
          <w:rFonts w:ascii="仿宋_GB2312" w:eastAsia="仿宋_GB2312" w:hint="eastAsia"/>
          <w:sz w:val="28"/>
          <w:szCs w:val="28"/>
        </w:rPr>
        <w:t>万元，比</w:t>
      </w:r>
      <w:r>
        <w:rPr>
          <w:rFonts w:ascii="仿宋_GB2312" w:eastAsia="仿宋_GB2312" w:hint="eastAsia"/>
          <w:sz w:val="28"/>
          <w:szCs w:val="28"/>
        </w:rPr>
        <w:t>2024</w:t>
      </w:r>
      <w:r>
        <w:rPr>
          <w:rFonts w:ascii="仿宋_GB2312" w:eastAsia="仿宋_GB2312" w:hint="eastAsia"/>
          <w:sz w:val="28"/>
          <w:szCs w:val="28"/>
        </w:rPr>
        <w:t>年度年初预算数</w:t>
      </w:r>
      <w:r>
        <w:rPr>
          <w:rFonts w:ascii="仿宋_GB2312" w:eastAsia="仿宋_GB2312"/>
          <w:sz w:val="28"/>
          <w:szCs w:val="28"/>
        </w:rPr>
        <w:t>4</w:t>
      </w:r>
      <w:r>
        <w:rPr>
          <w:rFonts w:ascii="仿宋_GB2312" w:eastAsia="仿宋_GB2312" w:hint="eastAsia"/>
          <w:sz w:val="28"/>
          <w:szCs w:val="28"/>
        </w:rPr>
        <w:t>万元减少</w:t>
      </w:r>
      <w:r>
        <w:rPr>
          <w:rFonts w:ascii="仿宋_GB2312" w:eastAsia="仿宋_GB2312"/>
          <w:sz w:val="28"/>
          <w:szCs w:val="28"/>
        </w:rPr>
        <w:t>3.55</w:t>
      </w:r>
      <w:r>
        <w:rPr>
          <w:rFonts w:ascii="仿宋_GB2312" w:eastAsia="仿宋_GB2312" w:hint="eastAsia"/>
          <w:sz w:val="28"/>
          <w:szCs w:val="28"/>
        </w:rPr>
        <w:t>万元。其中，公务用车购置费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w:t>
      </w:r>
      <w:r>
        <w:rPr>
          <w:rFonts w:ascii="仿宋_GB2312" w:eastAsia="仿宋_GB2312" w:hint="eastAsia"/>
          <w:sz w:val="28"/>
          <w:szCs w:val="28"/>
        </w:rPr>
        <w:t>万元，</w:t>
      </w:r>
      <w:r>
        <w:rPr>
          <w:rFonts w:ascii="仿宋_GB2312" w:eastAsia="仿宋_GB2312" w:hint="eastAsia"/>
          <w:sz w:val="28"/>
          <w:szCs w:val="28"/>
        </w:rPr>
        <w:t xml:space="preserve"> 2024</w:t>
      </w:r>
      <w:r>
        <w:rPr>
          <w:rFonts w:ascii="仿宋_GB2312" w:eastAsia="仿宋_GB2312" w:hint="eastAsia"/>
          <w:sz w:val="28"/>
          <w:szCs w:val="28"/>
        </w:rPr>
        <w:t>年度购置（更新）</w:t>
      </w:r>
      <w:r>
        <w:rPr>
          <w:rFonts w:ascii="仿宋_GB2312" w:eastAsia="仿宋_GB2312" w:hint="eastAsia"/>
          <w:sz w:val="28"/>
          <w:szCs w:val="28"/>
        </w:rPr>
        <w:t>0</w:t>
      </w:r>
      <w:r>
        <w:rPr>
          <w:rFonts w:ascii="仿宋_GB2312" w:eastAsia="仿宋_GB2312" w:hint="eastAsia"/>
          <w:sz w:val="28"/>
          <w:szCs w:val="28"/>
        </w:rPr>
        <w:t>辆。公务用车运行维护费</w:t>
      </w:r>
      <w:r>
        <w:rPr>
          <w:rFonts w:ascii="仿宋_GB2312" w:eastAsia="仿宋_GB2312" w:hint="eastAsia"/>
          <w:sz w:val="28"/>
          <w:szCs w:val="28"/>
        </w:rPr>
        <w:t>2024</w:t>
      </w:r>
      <w:r>
        <w:rPr>
          <w:rFonts w:ascii="仿宋_GB2312" w:eastAsia="仿宋_GB2312" w:hint="eastAsia"/>
          <w:sz w:val="28"/>
          <w:szCs w:val="28"/>
        </w:rPr>
        <w:t>年度决算数</w:t>
      </w:r>
      <w:r>
        <w:rPr>
          <w:rFonts w:ascii="仿宋_GB2312" w:eastAsia="仿宋_GB2312" w:hint="eastAsia"/>
          <w:sz w:val="28"/>
          <w:szCs w:val="28"/>
        </w:rPr>
        <w:t>0.45</w:t>
      </w:r>
      <w:r>
        <w:rPr>
          <w:rFonts w:ascii="仿宋_GB2312" w:eastAsia="仿宋_GB2312" w:hint="eastAsia"/>
          <w:sz w:val="28"/>
          <w:szCs w:val="28"/>
        </w:rPr>
        <w:t>万元，主要原因：落实政府过紧日子、厉行勤俭节约要求，严控公务用车运行维护费支出规模。</w:t>
      </w:r>
      <w:r>
        <w:rPr>
          <w:rFonts w:ascii="仿宋_GB2312" w:eastAsia="仿宋_GB2312" w:hint="eastAsia"/>
          <w:sz w:val="28"/>
          <w:szCs w:val="28"/>
        </w:rPr>
        <w:t>2024</w:t>
      </w:r>
      <w:r>
        <w:rPr>
          <w:rFonts w:ascii="仿宋_GB2312" w:eastAsia="仿宋_GB2312" w:hint="eastAsia"/>
          <w:sz w:val="28"/>
          <w:szCs w:val="28"/>
        </w:rPr>
        <w:t>年度公务用车保有量</w:t>
      </w:r>
      <w:r>
        <w:rPr>
          <w:rFonts w:ascii="仿宋_GB2312" w:eastAsia="仿宋_GB2312"/>
          <w:sz w:val="28"/>
          <w:szCs w:val="28"/>
        </w:rPr>
        <w:t>15</w:t>
      </w:r>
      <w:r>
        <w:rPr>
          <w:rFonts w:ascii="仿宋_GB2312" w:eastAsia="仿宋_GB2312" w:hint="eastAsia"/>
          <w:sz w:val="28"/>
          <w:szCs w:val="28"/>
        </w:rPr>
        <w:t>辆。</w:t>
      </w:r>
    </w:p>
    <w:p w:rsidR="00591A0E" w:rsidRDefault="00536D96">
      <w:pPr>
        <w:tabs>
          <w:tab w:val="center" w:pos="6979"/>
        </w:tabs>
        <w:ind w:firstLineChars="198" w:firstLine="554"/>
        <w:rPr>
          <w:rFonts w:ascii="黑体" w:eastAsia="黑体"/>
          <w:sz w:val="28"/>
          <w:szCs w:val="28"/>
        </w:rPr>
      </w:pPr>
      <w:r>
        <w:rPr>
          <w:rFonts w:ascii="黑体" w:eastAsia="黑体" w:hint="eastAsia"/>
          <w:sz w:val="28"/>
          <w:szCs w:val="28"/>
        </w:rPr>
        <w:t>二、机关运行经费支出情况</w:t>
      </w:r>
    </w:p>
    <w:p w:rsidR="00591A0E" w:rsidRDefault="00536D96" w:rsidP="00591A0E">
      <w:pPr>
        <w:ind w:firstLineChars="192" w:firstLine="538"/>
        <w:rPr>
          <w:rFonts w:ascii="仿宋_GB2312" w:eastAsia="仿宋_GB2312"/>
          <w:sz w:val="28"/>
          <w:szCs w:val="28"/>
        </w:rPr>
      </w:pPr>
      <w:r>
        <w:rPr>
          <w:rFonts w:ascii="仿宋_GB2312" w:eastAsia="仿宋_GB2312" w:hint="eastAsia"/>
          <w:sz w:val="28"/>
          <w:szCs w:val="28"/>
        </w:rPr>
        <w:t>我单位不在机关运行经费统计范围之内。</w:t>
      </w:r>
    </w:p>
    <w:p w:rsidR="00591A0E" w:rsidRDefault="00536D96">
      <w:pPr>
        <w:ind w:left="540"/>
        <w:rPr>
          <w:rFonts w:ascii="黑体" w:eastAsia="黑体"/>
          <w:sz w:val="28"/>
          <w:szCs w:val="28"/>
        </w:rPr>
      </w:pPr>
      <w:r>
        <w:rPr>
          <w:rFonts w:ascii="黑体" w:eastAsia="黑体" w:hint="eastAsia"/>
          <w:sz w:val="28"/>
          <w:szCs w:val="28"/>
        </w:rPr>
        <w:t>三、政府采购支出情况</w:t>
      </w:r>
    </w:p>
    <w:p w:rsidR="00591A0E" w:rsidRDefault="00536D96" w:rsidP="00591A0E">
      <w:pPr>
        <w:ind w:firstLineChars="192" w:firstLine="538"/>
        <w:rPr>
          <w:rFonts w:ascii="仿宋_GB2312" w:eastAsia="仿宋_GB2312"/>
          <w:sz w:val="28"/>
          <w:szCs w:val="28"/>
        </w:rPr>
      </w:pPr>
      <w:r>
        <w:rPr>
          <w:rFonts w:ascii="仿宋_GB2312" w:eastAsia="仿宋_GB2312" w:hint="eastAsia"/>
          <w:sz w:val="28"/>
          <w:szCs w:val="28"/>
        </w:rPr>
        <w:t>2024</w:t>
      </w:r>
      <w:r>
        <w:rPr>
          <w:rFonts w:ascii="仿宋_GB2312" w:eastAsia="仿宋_GB2312" w:hint="eastAsia"/>
          <w:sz w:val="28"/>
          <w:szCs w:val="28"/>
        </w:rPr>
        <w:t>年度政府采购支出总额</w:t>
      </w:r>
      <w:r>
        <w:rPr>
          <w:rFonts w:ascii="仿宋_GB2312" w:eastAsia="仿宋_GB2312"/>
          <w:sz w:val="28"/>
          <w:szCs w:val="28"/>
        </w:rPr>
        <w:t>321.18</w:t>
      </w:r>
      <w:r>
        <w:rPr>
          <w:rFonts w:ascii="仿宋_GB2312" w:eastAsia="仿宋_GB2312" w:hint="eastAsia"/>
          <w:sz w:val="28"/>
          <w:szCs w:val="28"/>
        </w:rPr>
        <w:t>万元，其中：政府采购货物支出</w:t>
      </w:r>
      <w:r>
        <w:rPr>
          <w:rFonts w:ascii="仿宋_GB2312" w:eastAsia="仿宋_GB2312"/>
          <w:sz w:val="28"/>
          <w:szCs w:val="28"/>
        </w:rPr>
        <w:t>15.88</w:t>
      </w:r>
      <w:r>
        <w:rPr>
          <w:rFonts w:ascii="仿宋_GB2312" w:eastAsia="仿宋_GB2312" w:hint="eastAsia"/>
          <w:sz w:val="28"/>
          <w:szCs w:val="28"/>
        </w:rPr>
        <w:t>万元，政府采购工程支出</w:t>
      </w:r>
      <w:r>
        <w:rPr>
          <w:rFonts w:ascii="仿宋_GB2312" w:eastAsia="仿宋_GB2312"/>
          <w:sz w:val="28"/>
          <w:szCs w:val="28"/>
        </w:rPr>
        <w:t>0</w:t>
      </w:r>
      <w:r>
        <w:rPr>
          <w:rFonts w:ascii="仿宋_GB2312" w:eastAsia="仿宋_GB2312" w:hint="eastAsia"/>
          <w:sz w:val="28"/>
          <w:szCs w:val="28"/>
        </w:rPr>
        <w:t>万元，政府采购服务支出</w:t>
      </w:r>
      <w:r>
        <w:rPr>
          <w:rFonts w:ascii="仿宋_GB2312" w:eastAsia="仿宋_GB2312"/>
          <w:sz w:val="28"/>
          <w:szCs w:val="28"/>
        </w:rPr>
        <w:t>305.3</w:t>
      </w:r>
      <w:r>
        <w:rPr>
          <w:rFonts w:ascii="仿宋_GB2312" w:eastAsia="仿宋_GB2312" w:hint="eastAsia"/>
          <w:sz w:val="28"/>
          <w:szCs w:val="28"/>
        </w:rPr>
        <w:t>0</w:t>
      </w:r>
      <w:r>
        <w:rPr>
          <w:rFonts w:ascii="仿宋_GB2312" w:eastAsia="仿宋_GB2312" w:hint="eastAsia"/>
          <w:sz w:val="28"/>
          <w:szCs w:val="28"/>
        </w:rPr>
        <w:t>万元。授予中小企业合同金额</w:t>
      </w:r>
      <w:r>
        <w:rPr>
          <w:rFonts w:ascii="仿宋_GB2312" w:eastAsia="仿宋_GB2312"/>
          <w:sz w:val="28"/>
          <w:szCs w:val="28"/>
        </w:rPr>
        <w:t>321</w:t>
      </w:r>
      <w:r>
        <w:rPr>
          <w:rFonts w:ascii="仿宋_GB2312" w:eastAsia="仿宋_GB2312" w:hint="eastAsia"/>
          <w:sz w:val="28"/>
          <w:szCs w:val="28"/>
        </w:rPr>
        <w:t>.00</w:t>
      </w:r>
      <w:r>
        <w:rPr>
          <w:rFonts w:ascii="仿宋_GB2312" w:eastAsia="仿宋_GB2312" w:hint="eastAsia"/>
          <w:sz w:val="28"/>
          <w:szCs w:val="28"/>
        </w:rPr>
        <w:t>万元，占政府采购支出总额的</w:t>
      </w:r>
      <w:r>
        <w:rPr>
          <w:rFonts w:ascii="仿宋_GB2312" w:eastAsia="仿宋_GB2312" w:hint="eastAsia"/>
          <w:sz w:val="28"/>
          <w:szCs w:val="28"/>
        </w:rPr>
        <w:t>99.94%</w:t>
      </w:r>
      <w:r>
        <w:rPr>
          <w:rFonts w:ascii="仿宋_GB2312" w:eastAsia="仿宋_GB2312" w:hint="eastAsia"/>
          <w:sz w:val="28"/>
          <w:szCs w:val="28"/>
        </w:rPr>
        <w:t>，其中：授予小微企业合同金额</w:t>
      </w:r>
      <w:r>
        <w:rPr>
          <w:rFonts w:ascii="仿宋_GB2312" w:eastAsia="仿宋_GB2312"/>
          <w:sz w:val="28"/>
          <w:szCs w:val="28"/>
        </w:rPr>
        <w:t>295.51</w:t>
      </w:r>
      <w:r>
        <w:rPr>
          <w:rFonts w:ascii="仿宋_GB2312" w:eastAsia="仿宋_GB2312" w:hint="eastAsia"/>
          <w:sz w:val="28"/>
          <w:szCs w:val="28"/>
        </w:rPr>
        <w:t>万元，占政府采购支出总额的</w:t>
      </w:r>
      <w:r>
        <w:rPr>
          <w:rFonts w:ascii="仿宋_GB2312" w:eastAsia="仿宋_GB2312"/>
          <w:sz w:val="28"/>
          <w:szCs w:val="28"/>
        </w:rPr>
        <w:t>92.01</w:t>
      </w:r>
      <w:r>
        <w:rPr>
          <w:rFonts w:ascii="仿宋_GB2312" w:eastAsia="仿宋_GB2312" w:hint="eastAsia"/>
          <w:sz w:val="28"/>
          <w:szCs w:val="28"/>
        </w:rPr>
        <w:t>%</w:t>
      </w:r>
      <w:r>
        <w:rPr>
          <w:rFonts w:ascii="仿宋_GB2312" w:eastAsia="仿宋_GB2312" w:hint="eastAsia"/>
          <w:sz w:val="28"/>
          <w:szCs w:val="28"/>
        </w:rPr>
        <w:t>。</w:t>
      </w:r>
    </w:p>
    <w:p w:rsidR="00591A0E" w:rsidRDefault="00536D96">
      <w:pPr>
        <w:ind w:firstLineChars="200" w:firstLine="560"/>
        <w:rPr>
          <w:rFonts w:ascii="黑体" w:eastAsia="黑体"/>
          <w:sz w:val="28"/>
          <w:szCs w:val="28"/>
          <w:highlight w:val="yellow"/>
        </w:rPr>
      </w:pPr>
      <w:r>
        <w:rPr>
          <w:rFonts w:ascii="黑体" w:eastAsia="黑体" w:hint="eastAsia"/>
          <w:sz w:val="28"/>
          <w:szCs w:val="28"/>
        </w:rPr>
        <w:t>四、国有资产占用情况</w:t>
      </w:r>
    </w:p>
    <w:p w:rsidR="00591A0E" w:rsidRDefault="00536D96">
      <w:pPr>
        <w:ind w:firstLineChars="200" w:firstLine="560"/>
        <w:rPr>
          <w:rFonts w:ascii="仿宋_GB2312" w:eastAsia="仿宋_GB2312"/>
          <w:sz w:val="32"/>
          <w:szCs w:val="32"/>
        </w:rPr>
      </w:pPr>
      <w:r>
        <w:rPr>
          <w:rFonts w:ascii="仿宋_GB2312" w:eastAsia="仿宋_GB2312" w:hint="eastAsia"/>
          <w:sz w:val="28"/>
          <w:szCs w:val="28"/>
        </w:rPr>
        <w:t>截至</w:t>
      </w:r>
      <w:r>
        <w:rPr>
          <w:rFonts w:ascii="仿宋_GB2312" w:eastAsia="仿宋_GB2312" w:hint="eastAsia"/>
          <w:sz w:val="28"/>
          <w:szCs w:val="28"/>
        </w:rPr>
        <w:t>12</w:t>
      </w:r>
      <w:r>
        <w:rPr>
          <w:rFonts w:ascii="仿宋_GB2312" w:eastAsia="仿宋_GB2312" w:hint="eastAsia"/>
          <w:sz w:val="28"/>
          <w:szCs w:val="28"/>
        </w:rPr>
        <w:t>月</w:t>
      </w:r>
      <w:r>
        <w:rPr>
          <w:rFonts w:ascii="仿宋_GB2312" w:eastAsia="仿宋_GB2312" w:hint="eastAsia"/>
          <w:sz w:val="28"/>
          <w:szCs w:val="28"/>
        </w:rPr>
        <w:t>31</w:t>
      </w:r>
      <w:r>
        <w:rPr>
          <w:rFonts w:ascii="仿宋_GB2312" w:eastAsia="仿宋_GB2312" w:hint="eastAsia"/>
          <w:sz w:val="28"/>
          <w:szCs w:val="28"/>
        </w:rPr>
        <w:t>日，北京市杂技学校（北京市国际艺术学校）共有车辆</w:t>
      </w:r>
      <w:r>
        <w:rPr>
          <w:rFonts w:ascii="仿宋_GB2312" w:eastAsia="仿宋_GB2312" w:hint="eastAsia"/>
          <w:sz w:val="28"/>
          <w:szCs w:val="28"/>
        </w:rPr>
        <w:t>15</w:t>
      </w:r>
      <w:r>
        <w:rPr>
          <w:rFonts w:ascii="仿宋_GB2312" w:eastAsia="仿宋_GB2312" w:hint="eastAsia"/>
          <w:sz w:val="28"/>
          <w:szCs w:val="28"/>
        </w:rPr>
        <w:t>台；单位价值</w:t>
      </w:r>
      <w:r>
        <w:rPr>
          <w:rFonts w:ascii="仿宋_GB2312" w:eastAsia="仿宋_GB2312" w:hint="eastAsia"/>
          <w:sz w:val="28"/>
          <w:szCs w:val="28"/>
        </w:rPr>
        <w:t>100</w:t>
      </w:r>
      <w:r>
        <w:rPr>
          <w:rFonts w:ascii="仿宋_GB2312" w:eastAsia="仿宋_GB2312" w:hint="eastAsia"/>
          <w:sz w:val="28"/>
          <w:szCs w:val="28"/>
        </w:rPr>
        <w:t>万元（含）以上的设备</w:t>
      </w:r>
      <w:r>
        <w:rPr>
          <w:rFonts w:ascii="仿宋_GB2312" w:eastAsia="仿宋_GB2312" w:hint="eastAsia"/>
          <w:sz w:val="28"/>
          <w:szCs w:val="28"/>
        </w:rPr>
        <w:t>9</w:t>
      </w:r>
      <w:r>
        <w:rPr>
          <w:rFonts w:ascii="仿宋_GB2312" w:eastAsia="仿宋_GB2312" w:hint="eastAsia"/>
          <w:sz w:val="28"/>
          <w:szCs w:val="28"/>
        </w:rPr>
        <w:t>台（套）。</w:t>
      </w:r>
    </w:p>
    <w:p w:rsidR="00591A0E" w:rsidRDefault="00536D96" w:rsidP="00591A0E">
      <w:pPr>
        <w:ind w:firstLineChars="192" w:firstLine="538"/>
        <w:rPr>
          <w:rFonts w:ascii="黑体" w:eastAsia="黑体"/>
          <w:sz w:val="28"/>
          <w:szCs w:val="28"/>
        </w:rPr>
      </w:pPr>
      <w:r>
        <w:rPr>
          <w:rFonts w:ascii="黑体" w:eastAsia="黑体" w:hint="eastAsia"/>
          <w:sz w:val="28"/>
          <w:szCs w:val="28"/>
        </w:rPr>
        <w:t>五</w:t>
      </w:r>
      <w:r>
        <w:rPr>
          <w:rFonts w:ascii="黑体" w:eastAsia="黑体"/>
          <w:sz w:val="28"/>
          <w:szCs w:val="28"/>
        </w:rPr>
        <w:t>、政府购买服务</w:t>
      </w:r>
      <w:r>
        <w:rPr>
          <w:rFonts w:ascii="黑体" w:eastAsia="黑体" w:hint="eastAsia"/>
          <w:sz w:val="28"/>
          <w:szCs w:val="28"/>
        </w:rPr>
        <w:t>支出</w:t>
      </w:r>
      <w:r>
        <w:rPr>
          <w:rFonts w:ascii="黑体" w:eastAsia="黑体"/>
          <w:sz w:val="28"/>
          <w:szCs w:val="28"/>
        </w:rPr>
        <w:t>说明</w:t>
      </w:r>
    </w:p>
    <w:p w:rsidR="00591A0E" w:rsidRDefault="00536D96" w:rsidP="00591A0E">
      <w:pPr>
        <w:ind w:firstLineChars="192" w:firstLine="538"/>
        <w:rPr>
          <w:rFonts w:ascii="仿宋_GB2312" w:eastAsia="仿宋_GB2312"/>
          <w:sz w:val="28"/>
          <w:szCs w:val="28"/>
        </w:rPr>
      </w:pPr>
      <w:r>
        <w:rPr>
          <w:rFonts w:ascii="仿宋_GB2312" w:eastAsia="仿宋_GB2312" w:hint="eastAsia"/>
          <w:sz w:val="28"/>
          <w:szCs w:val="28"/>
        </w:rPr>
        <w:t>本单位无此项支出。</w:t>
      </w:r>
    </w:p>
    <w:p w:rsidR="00591A0E" w:rsidRDefault="00536D96">
      <w:pPr>
        <w:ind w:firstLineChars="200" w:firstLine="560"/>
        <w:jc w:val="left"/>
        <w:rPr>
          <w:rFonts w:ascii="仿宋_GB2312" w:eastAsia="仿宋_GB2312"/>
          <w:color w:val="000000"/>
          <w:sz w:val="32"/>
          <w:szCs w:val="32"/>
        </w:rPr>
      </w:pPr>
      <w:r>
        <w:rPr>
          <w:rFonts w:ascii="黑体" w:eastAsia="黑体" w:hint="eastAsia"/>
          <w:sz w:val="28"/>
          <w:szCs w:val="28"/>
        </w:rPr>
        <w:t>六、</w:t>
      </w:r>
      <w:r>
        <w:rPr>
          <w:rFonts w:ascii="黑体" w:eastAsia="黑体"/>
          <w:sz w:val="28"/>
          <w:szCs w:val="28"/>
        </w:rPr>
        <w:t>专业名词解释</w:t>
      </w:r>
    </w:p>
    <w:p w:rsidR="00591A0E" w:rsidRDefault="00536D96">
      <w:pPr>
        <w:ind w:firstLineChars="200" w:firstLine="560"/>
        <w:rPr>
          <w:rFonts w:ascii="仿宋_GB2312" w:eastAsia="仿宋_GB2312"/>
          <w:sz w:val="28"/>
          <w:szCs w:val="28"/>
        </w:rPr>
      </w:pPr>
      <w:r>
        <w:rPr>
          <w:rFonts w:ascii="仿宋_GB2312" w:eastAsia="仿宋_GB2312" w:hint="eastAsia"/>
          <w:sz w:val="28"/>
          <w:szCs w:val="28"/>
        </w:rPr>
        <w:t>1.</w:t>
      </w:r>
      <w:r>
        <w:rPr>
          <w:rFonts w:ascii="仿宋_GB2312" w:eastAsia="仿宋_GB2312" w:hint="eastAsia"/>
          <w:sz w:val="28"/>
          <w:szCs w:val="28"/>
        </w:rPr>
        <w:t>基本支出：指为保障机构正常运转、完成日常工作任务而发生的人员支出和公用支出。</w:t>
      </w:r>
    </w:p>
    <w:p w:rsidR="00591A0E" w:rsidRDefault="00536D96">
      <w:pPr>
        <w:ind w:firstLineChars="200" w:firstLine="560"/>
        <w:rPr>
          <w:rFonts w:ascii="仿宋_GB2312" w:eastAsia="仿宋_GB2312"/>
          <w:sz w:val="28"/>
          <w:szCs w:val="28"/>
        </w:rPr>
      </w:pPr>
      <w:r>
        <w:rPr>
          <w:rFonts w:ascii="仿宋_GB2312" w:eastAsia="仿宋_GB2312" w:hint="eastAsia"/>
          <w:sz w:val="28"/>
          <w:szCs w:val="28"/>
        </w:rPr>
        <w:t>2.</w:t>
      </w:r>
      <w:r>
        <w:rPr>
          <w:rFonts w:ascii="仿宋_GB2312" w:eastAsia="仿宋_GB2312" w:hint="eastAsia"/>
          <w:sz w:val="28"/>
          <w:szCs w:val="28"/>
        </w:rPr>
        <w:t>项目支出：指在基本支出之外为完成特定行政任务或事业发展目标所发生的支出。</w:t>
      </w:r>
    </w:p>
    <w:p w:rsidR="00591A0E" w:rsidRDefault="00536D96">
      <w:pPr>
        <w:ind w:firstLineChars="200" w:firstLine="560"/>
        <w:rPr>
          <w:rFonts w:ascii="仿宋_GB2312" w:eastAsia="仿宋_GB2312" w:hAnsi="宋体"/>
          <w:sz w:val="28"/>
          <w:szCs w:val="28"/>
        </w:rPr>
      </w:pPr>
      <w:r>
        <w:rPr>
          <w:rFonts w:ascii="仿宋_GB2312" w:eastAsia="仿宋_GB2312" w:hint="eastAsia"/>
          <w:sz w:val="28"/>
          <w:szCs w:val="28"/>
        </w:rPr>
        <w:t>3.</w:t>
      </w:r>
      <w:r>
        <w:rPr>
          <w:rFonts w:ascii="仿宋_GB2312" w:eastAsia="仿宋_GB2312" w:hint="eastAsia"/>
          <w:sz w:val="28"/>
          <w:szCs w:val="28"/>
        </w:rPr>
        <w:t>“三公”经费：</w:t>
      </w:r>
      <w:r>
        <w:rPr>
          <w:rFonts w:ascii="仿宋_GB2312" w:eastAsia="仿宋_GB2312" w:hAnsi="宋体" w:hint="eastAsia"/>
          <w:sz w:val="28"/>
          <w:szCs w:val="28"/>
        </w:rPr>
        <w:t>是指单位通过财政拨款资金安排的因公出国（境）费、公务用车购置及运行费和公务接待费。其中，</w:t>
      </w:r>
      <w:r>
        <w:rPr>
          <w:rFonts w:ascii="仿宋_GB2312" w:eastAsia="仿宋_GB2312" w:hAnsi="宋体" w:hint="eastAsia"/>
          <w:sz w:val="28"/>
          <w:szCs w:val="28"/>
        </w:rPr>
        <w:t>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rsidR="00591A0E" w:rsidRDefault="00536D96">
      <w:pPr>
        <w:ind w:firstLineChars="200" w:firstLine="560"/>
        <w:rPr>
          <w:rFonts w:ascii="仿宋_GB2312" w:eastAsia="仿宋_GB2312" w:hAnsi="宋体"/>
          <w:sz w:val="28"/>
          <w:szCs w:val="28"/>
        </w:rPr>
      </w:pPr>
      <w:r>
        <w:rPr>
          <w:rFonts w:ascii="仿宋_GB2312" w:eastAsia="仿宋_GB2312" w:hint="eastAsia"/>
          <w:sz w:val="28"/>
          <w:szCs w:val="28"/>
        </w:rPr>
        <w:t>4</w:t>
      </w:r>
      <w:r>
        <w:rPr>
          <w:rFonts w:ascii="仿宋_GB2312" w:eastAsia="仿宋_GB2312"/>
          <w:sz w:val="28"/>
          <w:szCs w:val="28"/>
        </w:rPr>
        <w:t>.</w:t>
      </w:r>
      <w:r>
        <w:rPr>
          <w:rFonts w:ascii="仿宋_GB2312" w:eastAsia="仿宋_GB2312" w:hint="eastAsia"/>
          <w:sz w:val="28"/>
          <w:szCs w:val="28"/>
        </w:rPr>
        <w:t>机关运行经费：</w:t>
      </w:r>
      <w:r>
        <w:rPr>
          <w:rFonts w:ascii="仿宋_GB2312" w:eastAsia="仿宋_GB2312" w:hAnsi="宋体" w:hint="eastAsia"/>
          <w:sz w:val="28"/>
          <w:szCs w:val="28"/>
        </w:rPr>
        <w:t>指为</w:t>
      </w:r>
      <w:r>
        <w:rPr>
          <w:rFonts w:ascii="仿宋_GB2312" w:eastAsia="仿宋_GB2312" w:hAnsi="宋体"/>
          <w:sz w:val="28"/>
          <w:szCs w:val="28"/>
        </w:rPr>
        <w:t>保障</w:t>
      </w:r>
      <w:r>
        <w:rPr>
          <w:rFonts w:ascii="仿宋_GB2312" w:eastAsia="仿宋_GB2312" w:hAnsi="宋体" w:hint="eastAsia"/>
          <w:sz w:val="28"/>
          <w:szCs w:val="28"/>
        </w:rPr>
        <w:t>行政单位（含参照公务员法管理事业单位）运行用于</w:t>
      </w:r>
      <w:r>
        <w:rPr>
          <w:rFonts w:ascii="仿宋_GB2312" w:eastAsia="仿宋_GB2312" w:hAnsi="宋体"/>
          <w:sz w:val="28"/>
          <w:szCs w:val="28"/>
        </w:rPr>
        <w:t>购买货物和服务的各项资金</w:t>
      </w:r>
      <w:r>
        <w:rPr>
          <w:rFonts w:ascii="仿宋_GB2312" w:eastAsia="仿宋_GB2312" w:hAnsi="宋体" w:hint="eastAsia"/>
          <w:sz w:val="28"/>
          <w:szCs w:val="28"/>
        </w:rPr>
        <w:t>，包括办公及印刷费、邮电费、差旅费、会议费、福利费、日常维修费、专用材料及一般设备购置费、办公用房水电费、办公用房取暖费、办公用房物业管理费、公务用车运行维护费以及其他费用。</w:t>
      </w:r>
    </w:p>
    <w:p w:rsidR="00591A0E" w:rsidRDefault="00536D96">
      <w:pPr>
        <w:ind w:firstLineChars="150" w:firstLine="420"/>
        <w:rPr>
          <w:rFonts w:ascii="仿宋_GB2312" w:eastAsia="仿宋_GB2312"/>
          <w:sz w:val="28"/>
          <w:szCs w:val="28"/>
        </w:rPr>
      </w:pPr>
      <w:r>
        <w:rPr>
          <w:rFonts w:ascii="仿宋_GB2312" w:eastAsia="仿宋_GB2312" w:hint="eastAsia"/>
          <w:sz w:val="28"/>
          <w:szCs w:val="28"/>
        </w:rPr>
        <w:t>5</w:t>
      </w:r>
      <w:r>
        <w:rPr>
          <w:rFonts w:ascii="仿宋_GB2312" w:eastAsia="仿宋_GB2312"/>
          <w:sz w:val="28"/>
          <w:szCs w:val="28"/>
        </w:rPr>
        <w:t>.</w:t>
      </w:r>
      <w:r>
        <w:rPr>
          <w:rFonts w:ascii="仿宋_GB2312" w:eastAsia="仿宋_GB2312" w:hint="eastAsia"/>
          <w:sz w:val="28"/>
          <w:szCs w:val="28"/>
        </w:rPr>
        <w:t>政府采购</w:t>
      </w:r>
      <w:r>
        <w:rPr>
          <w:rFonts w:ascii="仿宋_GB2312" w:eastAsia="仿宋_GB2312"/>
          <w:sz w:val="28"/>
          <w:szCs w:val="28"/>
        </w:rPr>
        <w:t>：</w:t>
      </w:r>
      <w:r>
        <w:rPr>
          <w:rFonts w:ascii="仿宋_GB2312" w:eastAsia="仿宋_GB2312" w:hint="eastAsia"/>
          <w:sz w:val="28"/>
          <w:szCs w:val="28"/>
        </w:rPr>
        <w:t>指</w:t>
      </w:r>
      <w:r>
        <w:rPr>
          <w:rFonts w:ascii="仿宋_GB2312" w:eastAsia="仿宋_GB2312"/>
          <w:sz w:val="28"/>
          <w:szCs w:val="28"/>
        </w:rPr>
        <w:t>各级国家机关、事业单位和团体组织，使用</w:t>
      </w:r>
      <w:r>
        <w:rPr>
          <w:rFonts w:ascii="仿宋_GB2312" w:eastAsia="仿宋_GB2312" w:hint="eastAsia"/>
          <w:sz w:val="28"/>
          <w:szCs w:val="28"/>
        </w:rPr>
        <w:t>财政性</w:t>
      </w:r>
      <w:r>
        <w:rPr>
          <w:rFonts w:ascii="仿宋_GB2312" w:eastAsia="仿宋_GB2312"/>
          <w:sz w:val="28"/>
          <w:szCs w:val="28"/>
        </w:rPr>
        <w:t>资金采购依法制定的集中目录以内的或者采购限额标准以上的货物、工程和服务的行为</w:t>
      </w:r>
      <w:r>
        <w:rPr>
          <w:rFonts w:ascii="仿宋_GB2312" w:eastAsia="仿宋_GB2312" w:hint="eastAsia"/>
          <w:sz w:val="28"/>
          <w:szCs w:val="28"/>
        </w:rPr>
        <w:t>，</w:t>
      </w:r>
      <w:r>
        <w:rPr>
          <w:rFonts w:ascii="仿宋_GB2312" w:eastAsia="仿宋_GB2312"/>
          <w:sz w:val="28"/>
          <w:szCs w:val="28"/>
        </w:rPr>
        <w:t>是规范财政支出管理和强化预算约束的有效措施。</w:t>
      </w:r>
    </w:p>
    <w:p w:rsidR="00591A0E" w:rsidRDefault="00536D96">
      <w:pPr>
        <w:ind w:firstLineChars="150" w:firstLine="420"/>
        <w:rPr>
          <w:rFonts w:ascii="仿宋_GB2312" w:eastAsia="仿宋_GB2312"/>
          <w:sz w:val="28"/>
          <w:szCs w:val="28"/>
        </w:rPr>
      </w:pPr>
      <w:r>
        <w:rPr>
          <w:rFonts w:ascii="仿宋_GB2312" w:eastAsia="仿宋_GB2312" w:hint="eastAsia"/>
          <w:sz w:val="28"/>
          <w:szCs w:val="28"/>
        </w:rPr>
        <w:t>6</w:t>
      </w:r>
      <w:r>
        <w:rPr>
          <w:rFonts w:ascii="仿宋_GB2312" w:eastAsia="仿宋_GB2312"/>
          <w:sz w:val="28"/>
          <w:szCs w:val="28"/>
        </w:rPr>
        <w:t>.</w:t>
      </w:r>
      <w:r>
        <w:rPr>
          <w:rFonts w:ascii="仿宋_GB2312" w:eastAsia="仿宋_GB2312"/>
          <w:sz w:val="28"/>
          <w:szCs w:val="28"/>
        </w:rPr>
        <w:t>政府购买服务：</w:t>
      </w:r>
      <w:r>
        <w:rPr>
          <w:rFonts w:ascii="仿宋_GB2312" w:eastAsia="仿宋_GB2312" w:hint="eastAsia"/>
          <w:sz w:val="28"/>
          <w:szCs w:val="28"/>
        </w:rPr>
        <w:t>是指各级国家机关将属于自身职责范围且适合通过市场化方式提供的服务事项，按照政府采购方式和程序，交由符合条件的服务供应商承担，并根据服务</w:t>
      </w:r>
      <w:r>
        <w:rPr>
          <w:rFonts w:ascii="仿宋_GB2312" w:eastAsia="仿宋_GB2312" w:hint="eastAsia"/>
          <w:sz w:val="28"/>
          <w:szCs w:val="28"/>
        </w:rPr>
        <w:t>数量和质量等因素向其支付费用的行为。</w:t>
      </w:r>
    </w:p>
    <w:p w:rsidR="00591A0E" w:rsidRDefault="00591A0E">
      <w:pPr>
        <w:rPr>
          <w:rFonts w:ascii="黑体" w:eastAsia="黑体"/>
          <w:sz w:val="32"/>
          <w:szCs w:val="32"/>
        </w:rPr>
      </w:pPr>
    </w:p>
    <w:p w:rsidR="00591A0E" w:rsidRDefault="00591A0E">
      <w:pPr>
        <w:ind w:firstLineChars="200" w:firstLine="640"/>
        <w:jc w:val="center"/>
        <w:rPr>
          <w:rFonts w:ascii="黑体" w:eastAsia="黑体"/>
          <w:sz w:val="32"/>
          <w:szCs w:val="32"/>
        </w:rPr>
      </w:pPr>
    </w:p>
    <w:p w:rsidR="00591A0E" w:rsidRDefault="00536D96">
      <w:pPr>
        <w:ind w:firstLineChars="200" w:firstLine="640"/>
        <w:jc w:val="center"/>
        <w:rPr>
          <w:rFonts w:ascii="黑体" w:eastAsia="黑体"/>
          <w:sz w:val="32"/>
          <w:szCs w:val="32"/>
        </w:rPr>
      </w:pPr>
      <w:r>
        <w:rPr>
          <w:rFonts w:ascii="黑体" w:eastAsia="黑体" w:hint="eastAsia"/>
          <w:sz w:val="32"/>
          <w:szCs w:val="32"/>
        </w:rPr>
        <w:t>第四部分</w:t>
      </w:r>
      <w:r>
        <w:rPr>
          <w:rFonts w:ascii="黑体" w:eastAsia="黑体" w:hint="eastAsia"/>
          <w:sz w:val="32"/>
          <w:szCs w:val="32"/>
        </w:rPr>
        <w:t xml:space="preserve">  2024</w:t>
      </w:r>
      <w:r>
        <w:rPr>
          <w:rFonts w:ascii="黑体" w:eastAsia="黑体" w:hint="eastAsia"/>
          <w:sz w:val="32"/>
          <w:szCs w:val="32"/>
        </w:rPr>
        <w:t>年度部门绩效评价情况</w:t>
      </w:r>
    </w:p>
    <w:p w:rsidR="00591A0E" w:rsidRDefault="00591A0E">
      <w:pPr>
        <w:ind w:firstLineChars="200" w:firstLine="560"/>
        <w:rPr>
          <w:rFonts w:ascii="黑体" w:eastAsia="黑体"/>
          <w:sz w:val="28"/>
          <w:szCs w:val="28"/>
          <w:highlight w:val="yellow"/>
        </w:rPr>
      </w:pPr>
    </w:p>
    <w:p w:rsidR="00591A0E" w:rsidRDefault="00536D96">
      <w:pPr>
        <w:numPr>
          <w:ilvl w:val="0"/>
          <w:numId w:val="1"/>
        </w:numPr>
        <w:ind w:firstLineChars="200" w:firstLine="560"/>
        <w:rPr>
          <w:rFonts w:ascii="黑体" w:eastAsia="黑体"/>
          <w:sz w:val="28"/>
          <w:szCs w:val="28"/>
        </w:rPr>
      </w:pPr>
      <w:r>
        <w:rPr>
          <w:rFonts w:ascii="黑体" w:eastAsia="黑体" w:hint="eastAsia"/>
          <w:sz w:val="28"/>
          <w:szCs w:val="28"/>
        </w:rPr>
        <w:t>部门整体绩效评价报告</w:t>
      </w:r>
    </w:p>
    <w:p w:rsidR="00591A0E" w:rsidRDefault="00536D96">
      <w:pPr>
        <w:ind w:left="560"/>
        <w:rPr>
          <w:rFonts w:ascii="黑体" w:eastAsia="黑体"/>
          <w:sz w:val="28"/>
          <w:szCs w:val="28"/>
        </w:rPr>
      </w:pPr>
      <w:r>
        <w:rPr>
          <w:rFonts w:ascii="仿宋_GB2312" w:eastAsia="仿宋_GB2312" w:hint="eastAsia"/>
          <w:sz w:val="28"/>
          <w:szCs w:val="28"/>
        </w:rPr>
        <w:t>本年度不涉及此项内容。</w:t>
      </w:r>
    </w:p>
    <w:p w:rsidR="00591A0E" w:rsidRDefault="00536D96">
      <w:pPr>
        <w:numPr>
          <w:ilvl w:val="0"/>
          <w:numId w:val="1"/>
        </w:numPr>
        <w:ind w:firstLineChars="200" w:firstLine="560"/>
        <w:rPr>
          <w:rFonts w:ascii="黑体" w:eastAsia="黑体"/>
          <w:sz w:val="28"/>
          <w:szCs w:val="28"/>
        </w:rPr>
      </w:pPr>
      <w:r>
        <w:rPr>
          <w:rFonts w:ascii="黑体" w:eastAsia="黑体" w:hint="eastAsia"/>
          <w:sz w:val="28"/>
          <w:szCs w:val="28"/>
        </w:rPr>
        <w:t>项目支出绩效评价报告</w:t>
      </w:r>
    </w:p>
    <w:p w:rsidR="00591A0E" w:rsidRDefault="00536D96">
      <w:pPr>
        <w:ind w:left="560"/>
        <w:rPr>
          <w:rFonts w:ascii="黑体" w:eastAsia="黑体"/>
          <w:sz w:val="28"/>
          <w:szCs w:val="28"/>
        </w:rPr>
      </w:pPr>
      <w:r>
        <w:rPr>
          <w:rFonts w:ascii="仿宋_GB2312" w:eastAsia="仿宋_GB2312" w:hint="eastAsia"/>
          <w:sz w:val="28"/>
          <w:szCs w:val="28"/>
        </w:rPr>
        <w:t>本年度不涉及此项内容。</w:t>
      </w:r>
    </w:p>
    <w:p w:rsidR="00591A0E" w:rsidRDefault="00536D96">
      <w:pPr>
        <w:numPr>
          <w:ilvl w:val="0"/>
          <w:numId w:val="1"/>
        </w:numPr>
        <w:ind w:firstLineChars="200" w:firstLine="560"/>
        <w:rPr>
          <w:rFonts w:ascii="黑体" w:eastAsia="黑体"/>
          <w:sz w:val="28"/>
          <w:szCs w:val="28"/>
        </w:rPr>
      </w:pPr>
      <w:r>
        <w:rPr>
          <w:rFonts w:ascii="黑体" w:eastAsia="黑体" w:hint="eastAsia"/>
          <w:sz w:val="28"/>
          <w:szCs w:val="28"/>
        </w:rPr>
        <w:t>项目</w:t>
      </w:r>
      <w:r>
        <w:rPr>
          <w:rFonts w:ascii="黑体" w:eastAsia="黑体"/>
          <w:sz w:val="28"/>
          <w:szCs w:val="28"/>
        </w:rPr>
        <w:t>支出绩效自评表</w:t>
      </w:r>
    </w:p>
    <w:p w:rsidR="00591A0E" w:rsidRDefault="00536D96">
      <w:pPr>
        <w:pStyle w:val="a3"/>
        <w:ind w:leftChars="95" w:left="199" w:firstLineChars="100" w:firstLine="280"/>
        <w:rPr>
          <w:rFonts w:ascii="仿宋_GB2312" w:eastAsia="仿宋_GB2312"/>
          <w:sz w:val="28"/>
          <w:szCs w:val="28"/>
        </w:rPr>
      </w:pPr>
      <w:r>
        <w:rPr>
          <w:rFonts w:ascii="仿宋_GB2312" w:eastAsia="仿宋_GB2312" w:hint="eastAsia"/>
          <w:sz w:val="28"/>
          <w:szCs w:val="28"/>
        </w:rPr>
        <w:t>项目支出绩效自评表详见附表</w:t>
      </w:r>
    </w:p>
    <w:p w:rsidR="00591A0E" w:rsidRDefault="00591A0E">
      <w:pPr>
        <w:spacing w:line="480" w:lineRule="exact"/>
        <w:rPr>
          <w:rFonts w:ascii="仿宋_GB2312" w:eastAsia="仿宋_GB2312" w:hAnsi="仿宋_GB2312" w:cs="仿宋_GB2312"/>
          <w:sz w:val="32"/>
          <w:szCs w:val="32"/>
        </w:rPr>
      </w:pPr>
    </w:p>
    <w:p w:rsidR="00591A0E" w:rsidRDefault="00591A0E">
      <w:pPr>
        <w:spacing w:line="480" w:lineRule="exact"/>
      </w:pPr>
    </w:p>
    <w:sectPr w:rsidR="00591A0E" w:rsidSect="00591A0E">
      <w:footerReference w:type="even" r:id="rId10"/>
      <w:footerReference w:type="default" r:id="rId11"/>
      <w:pgSz w:w="16838" w:h="11906" w:orient="landscape"/>
      <w:pgMar w:top="1134" w:right="1134" w:bottom="1134" w:left="1134" w:header="851" w:footer="992" w:gutter="0"/>
      <w:cols w:space="720"/>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1A0E" w:rsidRDefault="00591A0E" w:rsidP="00591A0E">
      <w:r>
        <w:separator/>
      </w:r>
    </w:p>
  </w:endnote>
  <w:endnote w:type="continuationSeparator" w:id="0">
    <w:p w:rsidR="00591A0E" w:rsidRDefault="00591A0E" w:rsidP="00591A0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00"/>
    <w:family w:val="swiss"/>
    <w:pitch w:val="variable"/>
    <w:sig w:usb0="61002A87" w:usb1="80000000" w:usb2="00000008" w:usb3="00000000" w:csb0="000101FF" w:csb1="00000000"/>
  </w:font>
  <w:font w:name="仿宋">
    <w:charset w:val="86"/>
    <w:family w:val="modern"/>
    <w:pitch w:val="default"/>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A0E" w:rsidRDefault="00B604A3">
    <w:pPr>
      <w:pStyle w:val="a7"/>
      <w:framePr w:wrap="around" w:vAnchor="text" w:hAnchor="margin" w:xAlign="center" w:y="1"/>
      <w:rPr>
        <w:rStyle w:val="ab"/>
      </w:rPr>
    </w:pPr>
    <w:r>
      <w:fldChar w:fldCharType="begin"/>
    </w:r>
    <w:r w:rsidR="00536D96">
      <w:rPr>
        <w:rStyle w:val="ab"/>
      </w:rPr>
      <w:instrText xml:space="preserve">PAGE  </w:instrText>
    </w:r>
    <w:r>
      <w:fldChar w:fldCharType="separate"/>
    </w:r>
    <w:r w:rsidR="00536D96">
      <w:rPr>
        <w:rStyle w:val="ab"/>
        <w:noProof/>
      </w:rPr>
      <w:t>3</w:t>
    </w:r>
    <w:r>
      <w:fldChar w:fldCharType="end"/>
    </w:r>
  </w:p>
  <w:p w:rsidR="00591A0E" w:rsidRDefault="00591A0E">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A0E" w:rsidRDefault="00B604A3">
    <w:pPr>
      <w:pStyle w:val="a7"/>
      <w:framePr w:wrap="around" w:vAnchor="text" w:hAnchor="margin" w:xAlign="center" w:y="1"/>
      <w:rPr>
        <w:rStyle w:val="ab"/>
      </w:rPr>
    </w:pPr>
    <w:r>
      <w:fldChar w:fldCharType="begin"/>
    </w:r>
    <w:r w:rsidR="00536D96">
      <w:rPr>
        <w:rStyle w:val="ab"/>
      </w:rPr>
      <w:instrText xml:space="preserve">PAGE  </w:instrText>
    </w:r>
    <w:r>
      <w:fldChar w:fldCharType="separate"/>
    </w:r>
    <w:r w:rsidR="00536D96">
      <w:rPr>
        <w:rStyle w:val="ab"/>
      </w:rPr>
      <w:t>15</w:t>
    </w:r>
    <w:r>
      <w:fldChar w:fldCharType="end"/>
    </w:r>
  </w:p>
  <w:p w:rsidR="00591A0E" w:rsidRDefault="00591A0E">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1A0E" w:rsidRDefault="00B604A3">
    <w:pPr>
      <w:pStyle w:val="a7"/>
      <w:framePr w:wrap="around" w:vAnchor="text" w:hAnchor="margin" w:xAlign="center" w:y="1"/>
      <w:rPr>
        <w:rStyle w:val="ab"/>
      </w:rPr>
    </w:pPr>
    <w:r>
      <w:fldChar w:fldCharType="begin"/>
    </w:r>
    <w:r w:rsidR="00536D96">
      <w:rPr>
        <w:rStyle w:val="ab"/>
      </w:rPr>
      <w:instrText xml:space="preserve">PAGE  </w:instrText>
    </w:r>
    <w:r>
      <w:fldChar w:fldCharType="separate"/>
    </w:r>
    <w:r w:rsidR="00536D96">
      <w:rPr>
        <w:rStyle w:val="ab"/>
        <w:noProof/>
      </w:rPr>
      <w:t>8</w:t>
    </w:r>
    <w:r>
      <w:fldChar w:fldCharType="end"/>
    </w:r>
  </w:p>
  <w:p w:rsidR="00591A0E" w:rsidRDefault="00591A0E">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1A0E" w:rsidRDefault="00591A0E" w:rsidP="00591A0E">
      <w:r>
        <w:separator/>
      </w:r>
    </w:p>
  </w:footnote>
  <w:footnote w:type="continuationSeparator" w:id="0">
    <w:p w:rsidR="00591A0E" w:rsidRDefault="00591A0E" w:rsidP="00591A0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D7E84BE"/>
    <w:multiLevelType w:val="singleLevel"/>
    <w:tmpl w:val="8D7E84BE"/>
    <w:lvl w:ilvl="0">
      <w:start w:val="1"/>
      <w:numFmt w:val="chineseCounting"/>
      <w:suff w:val="nothing"/>
      <w:lvlText w:val="%1、"/>
      <w:lvlJc w:val="left"/>
      <w:rPr>
        <w:rFonts w:hint="eastAsia"/>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5"/>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OWZmNWE4NzRhMTczNjJlZDE5ZTE5YTczN2QxMzcyMjAifQ=="/>
  </w:docVars>
  <w:rsids>
    <w:rsidRoot w:val="00100246"/>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E69B4"/>
    <w:rsid w:val="000E7BAA"/>
    <w:rsid w:val="000F08FE"/>
    <w:rsid w:val="000F208B"/>
    <w:rsid w:val="000F2104"/>
    <w:rsid w:val="000F2A48"/>
    <w:rsid w:val="000F49BE"/>
    <w:rsid w:val="00100246"/>
    <w:rsid w:val="00105F1D"/>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255B"/>
    <w:rsid w:val="0018370E"/>
    <w:rsid w:val="001852E1"/>
    <w:rsid w:val="00191568"/>
    <w:rsid w:val="00194909"/>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267A6"/>
    <w:rsid w:val="002326DE"/>
    <w:rsid w:val="00234314"/>
    <w:rsid w:val="00241724"/>
    <w:rsid w:val="0024390C"/>
    <w:rsid w:val="002441F4"/>
    <w:rsid w:val="00244204"/>
    <w:rsid w:val="002448A4"/>
    <w:rsid w:val="00245A0A"/>
    <w:rsid w:val="00246C13"/>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B60CC"/>
    <w:rsid w:val="002C0443"/>
    <w:rsid w:val="002C12FB"/>
    <w:rsid w:val="002C14B3"/>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4AD"/>
    <w:rsid w:val="003167DD"/>
    <w:rsid w:val="00320C8B"/>
    <w:rsid w:val="00321BD8"/>
    <w:rsid w:val="00325687"/>
    <w:rsid w:val="00332C14"/>
    <w:rsid w:val="00335079"/>
    <w:rsid w:val="003352CE"/>
    <w:rsid w:val="00341D8E"/>
    <w:rsid w:val="003502B9"/>
    <w:rsid w:val="003508E2"/>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425"/>
    <w:rsid w:val="003A4EB6"/>
    <w:rsid w:val="003A6A43"/>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27B80"/>
    <w:rsid w:val="00433231"/>
    <w:rsid w:val="004334CA"/>
    <w:rsid w:val="0043506A"/>
    <w:rsid w:val="00435830"/>
    <w:rsid w:val="0043619C"/>
    <w:rsid w:val="0044475D"/>
    <w:rsid w:val="00444D1E"/>
    <w:rsid w:val="0044571A"/>
    <w:rsid w:val="0044705D"/>
    <w:rsid w:val="0045090E"/>
    <w:rsid w:val="00453B9D"/>
    <w:rsid w:val="00453E36"/>
    <w:rsid w:val="00457286"/>
    <w:rsid w:val="00461FA5"/>
    <w:rsid w:val="00463566"/>
    <w:rsid w:val="00464182"/>
    <w:rsid w:val="00471C52"/>
    <w:rsid w:val="0047460C"/>
    <w:rsid w:val="00474FF2"/>
    <w:rsid w:val="00480098"/>
    <w:rsid w:val="00484A93"/>
    <w:rsid w:val="00484D0D"/>
    <w:rsid w:val="00485E12"/>
    <w:rsid w:val="004865DA"/>
    <w:rsid w:val="0048779C"/>
    <w:rsid w:val="00487AB7"/>
    <w:rsid w:val="00487ED0"/>
    <w:rsid w:val="00491D09"/>
    <w:rsid w:val="0049682C"/>
    <w:rsid w:val="004A168E"/>
    <w:rsid w:val="004A4EC7"/>
    <w:rsid w:val="004B0003"/>
    <w:rsid w:val="004B461F"/>
    <w:rsid w:val="004C020A"/>
    <w:rsid w:val="004C03A3"/>
    <w:rsid w:val="004C44B8"/>
    <w:rsid w:val="004C7629"/>
    <w:rsid w:val="004D0D5D"/>
    <w:rsid w:val="004E27DD"/>
    <w:rsid w:val="004E3350"/>
    <w:rsid w:val="004E5292"/>
    <w:rsid w:val="004E6AA9"/>
    <w:rsid w:val="004F2C5B"/>
    <w:rsid w:val="004F641B"/>
    <w:rsid w:val="004F71F3"/>
    <w:rsid w:val="005052FA"/>
    <w:rsid w:val="005069E1"/>
    <w:rsid w:val="00507E59"/>
    <w:rsid w:val="005122B5"/>
    <w:rsid w:val="0052381C"/>
    <w:rsid w:val="005346B3"/>
    <w:rsid w:val="00536D96"/>
    <w:rsid w:val="0054051C"/>
    <w:rsid w:val="00546A84"/>
    <w:rsid w:val="00547BE2"/>
    <w:rsid w:val="00551678"/>
    <w:rsid w:val="00552BD5"/>
    <w:rsid w:val="0055353D"/>
    <w:rsid w:val="0056187C"/>
    <w:rsid w:val="00576B03"/>
    <w:rsid w:val="00581E1A"/>
    <w:rsid w:val="005900B9"/>
    <w:rsid w:val="00591655"/>
    <w:rsid w:val="00591A0E"/>
    <w:rsid w:val="00591BEC"/>
    <w:rsid w:val="005934DF"/>
    <w:rsid w:val="005940EA"/>
    <w:rsid w:val="00594448"/>
    <w:rsid w:val="005A1D6F"/>
    <w:rsid w:val="005A4D82"/>
    <w:rsid w:val="005A52A6"/>
    <w:rsid w:val="005B0DEC"/>
    <w:rsid w:val="005B368E"/>
    <w:rsid w:val="005B44E8"/>
    <w:rsid w:val="005B6E69"/>
    <w:rsid w:val="005C0015"/>
    <w:rsid w:val="005C1E82"/>
    <w:rsid w:val="005C2BCE"/>
    <w:rsid w:val="005C2CA5"/>
    <w:rsid w:val="005C7062"/>
    <w:rsid w:val="005C7788"/>
    <w:rsid w:val="005D10B9"/>
    <w:rsid w:val="005D18DA"/>
    <w:rsid w:val="005D485A"/>
    <w:rsid w:val="005E00DC"/>
    <w:rsid w:val="005E3BBC"/>
    <w:rsid w:val="005E3EC6"/>
    <w:rsid w:val="005E4E07"/>
    <w:rsid w:val="005E4E46"/>
    <w:rsid w:val="005E5275"/>
    <w:rsid w:val="005E7DC8"/>
    <w:rsid w:val="005E7EC9"/>
    <w:rsid w:val="005F7087"/>
    <w:rsid w:val="00611BE4"/>
    <w:rsid w:val="0061219B"/>
    <w:rsid w:val="00617B82"/>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17EB"/>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5ED"/>
    <w:rsid w:val="00894D78"/>
    <w:rsid w:val="008A6A18"/>
    <w:rsid w:val="008B033F"/>
    <w:rsid w:val="008B4003"/>
    <w:rsid w:val="008B7443"/>
    <w:rsid w:val="008C179E"/>
    <w:rsid w:val="008C2379"/>
    <w:rsid w:val="008C4FF7"/>
    <w:rsid w:val="008C5C4C"/>
    <w:rsid w:val="008C7056"/>
    <w:rsid w:val="008C706D"/>
    <w:rsid w:val="008D3145"/>
    <w:rsid w:val="008E1A54"/>
    <w:rsid w:val="008E1B48"/>
    <w:rsid w:val="008E1F95"/>
    <w:rsid w:val="008E36B6"/>
    <w:rsid w:val="008E4267"/>
    <w:rsid w:val="008E4847"/>
    <w:rsid w:val="008E5FF1"/>
    <w:rsid w:val="008E63D2"/>
    <w:rsid w:val="008E6E14"/>
    <w:rsid w:val="008F1528"/>
    <w:rsid w:val="008F1AE5"/>
    <w:rsid w:val="008F2651"/>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57B8C"/>
    <w:rsid w:val="00962013"/>
    <w:rsid w:val="00963942"/>
    <w:rsid w:val="0096716C"/>
    <w:rsid w:val="009672B2"/>
    <w:rsid w:val="00971C66"/>
    <w:rsid w:val="00972363"/>
    <w:rsid w:val="0098419C"/>
    <w:rsid w:val="009843EF"/>
    <w:rsid w:val="0098442A"/>
    <w:rsid w:val="009867F2"/>
    <w:rsid w:val="00991347"/>
    <w:rsid w:val="00996018"/>
    <w:rsid w:val="0099738E"/>
    <w:rsid w:val="009A37BC"/>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40"/>
    <w:rsid w:val="00A413B5"/>
    <w:rsid w:val="00A429CB"/>
    <w:rsid w:val="00A433FB"/>
    <w:rsid w:val="00A44E87"/>
    <w:rsid w:val="00A5063C"/>
    <w:rsid w:val="00A52749"/>
    <w:rsid w:val="00A5422E"/>
    <w:rsid w:val="00A56EC1"/>
    <w:rsid w:val="00A6350C"/>
    <w:rsid w:val="00A6370B"/>
    <w:rsid w:val="00A63A73"/>
    <w:rsid w:val="00A64B40"/>
    <w:rsid w:val="00A6655C"/>
    <w:rsid w:val="00A66CBB"/>
    <w:rsid w:val="00A6704E"/>
    <w:rsid w:val="00A67EA4"/>
    <w:rsid w:val="00A773FF"/>
    <w:rsid w:val="00A83AA1"/>
    <w:rsid w:val="00A906F4"/>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920"/>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57B9C"/>
    <w:rsid w:val="00B604A3"/>
    <w:rsid w:val="00B6204E"/>
    <w:rsid w:val="00B649EC"/>
    <w:rsid w:val="00B728DD"/>
    <w:rsid w:val="00B72D43"/>
    <w:rsid w:val="00B74121"/>
    <w:rsid w:val="00B76618"/>
    <w:rsid w:val="00B80ABA"/>
    <w:rsid w:val="00B859FF"/>
    <w:rsid w:val="00B85C1B"/>
    <w:rsid w:val="00B85FF0"/>
    <w:rsid w:val="00B86150"/>
    <w:rsid w:val="00B869C8"/>
    <w:rsid w:val="00B878F9"/>
    <w:rsid w:val="00B9044A"/>
    <w:rsid w:val="00B91861"/>
    <w:rsid w:val="00B94293"/>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590C"/>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4CEA"/>
    <w:rsid w:val="00CE6B76"/>
    <w:rsid w:val="00CF366B"/>
    <w:rsid w:val="00CF3D7D"/>
    <w:rsid w:val="00CF5D9D"/>
    <w:rsid w:val="00CF606C"/>
    <w:rsid w:val="00CF7423"/>
    <w:rsid w:val="00D001F5"/>
    <w:rsid w:val="00D03E80"/>
    <w:rsid w:val="00D1083B"/>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9C9"/>
    <w:rsid w:val="00E00D49"/>
    <w:rsid w:val="00E019A8"/>
    <w:rsid w:val="00E03A46"/>
    <w:rsid w:val="00E03C6D"/>
    <w:rsid w:val="00E0476F"/>
    <w:rsid w:val="00E04899"/>
    <w:rsid w:val="00E0796F"/>
    <w:rsid w:val="00E10948"/>
    <w:rsid w:val="00E24371"/>
    <w:rsid w:val="00E243AB"/>
    <w:rsid w:val="00E26641"/>
    <w:rsid w:val="00E2778F"/>
    <w:rsid w:val="00E278B0"/>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77818"/>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58CE"/>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2F120AB"/>
    <w:rsid w:val="032B5196"/>
    <w:rsid w:val="04C3537C"/>
    <w:rsid w:val="079004AC"/>
    <w:rsid w:val="0BA148CA"/>
    <w:rsid w:val="0C1165C4"/>
    <w:rsid w:val="0D6D544B"/>
    <w:rsid w:val="0DD136FE"/>
    <w:rsid w:val="0F8E2C57"/>
    <w:rsid w:val="1059665E"/>
    <w:rsid w:val="10AC13BA"/>
    <w:rsid w:val="145A6C1B"/>
    <w:rsid w:val="14B73493"/>
    <w:rsid w:val="167A2FF9"/>
    <w:rsid w:val="18581C69"/>
    <w:rsid w:val="1AEC0734"/>
    <w:rsid w:val="1DEF20B0"/>
    <w:rsid w:val="214243FA"/>
    <w:rsid w:val="21AD613C"/>
    <w:rsid w:val="22467189"/>
    <w:rsid w:val="257A14F5"/>
    <w:rsid w:val="27196C26"/>
    <w:rsid w:val="29EF086F"/>
    <w:rsid w:val="2EFFE297"/>
    <w:rsid w:val="301437CA"/>
    <w:rsid w:val="349D1F0A"/>
    <w:rsid w:val="34DD0473"/>
    <w:rsid w:val="3C684897"/>
    <w:rsid w:val="433E495C"/>
    <w:rsid w:val="489F2FD7"/>
    <w:rsid w:val="4AC27CB3"/>
    <w:rsid w:val="4BF72BEF"/>
    <w:rsid w:val="4FA90297"/>
    <w:rsid w:val="4FC41A43"/>
    <w:rsid w:val="51DB3C59"/>
    <w:rsid w:val="550C0952"/>
    <w:rsid w:val="55762E42"/>
    <w:rsid w:val="55CD41DF"/>
    <w:rsid w:val="57A7B272"/>
    <w:rsid w:val="58470068"/>
    <w:rsid w:val="58747CAC"/>
    <w:rsid w:val="5A1720F9"/>
    <w:rsid w:val="5B9C37C2"/>
    <w:rsid w:val="5BA7C654"/>
    <w:rsid w:val="60A54109"/>
    <w:rsid w:val="61D01CDF"/>
    <w:rsid w:val="64C0607C"/>
    <w:rsid w:val="65756C86"/>
    <w:rsid w:val="674D385B"/>
    <w:rsid w:val="676F09E1"/>
    <w:rsid w:val="7357290B"/>
    <w:rsid w:val="798524E4"/>
    <w:rsid w:val="7A7F1C49"/>
    <w:rsid w:val="7B5B7AE6"/>
    <w:rsid w:val="7B7B6628"/>
    <w:rsid w:val="7BA7071E"/>
    <w:rsid w:val="7BDF6DA8"/>
    <w:rsid w:val="7C7EDC1A"/>
    <w:rsid w:val="7CCED98D"/>
    <w:rsid w:val="7D08410F"/>
    <w:rsid w:val="7DB96DED"/>
    <w:rsid w:val="7DD3AD81"/>
    <w:rsid w:val="7F7FE70F"/>
    <w:rsid w:val="7FFF77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uiPriority="1" w:unhideWhenUsed="1"/>
    <w:lsdException w:name="Body Text Indent" w:qFormat="1"/>
    <w:lsdException w:name="Subtitle" w:qFormat="1"/>
    <w:lsdException w:name="Dat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2"/>
    <w:qFormat/>
    <w:rsid w:val="00591A0E"/>
    <w:pPr>
      <w:widowControl w:val="0"/>
      <w:jc w:val="both"/>
    </w:pPr>
    <w:rPr>
      <w:kern w:val="2"/>
      <w:sz w:val="21"/>
      <w:szCs w:val="24"/>
    </w:rPr>
  </w:style>
  <w:style w:type="paragraph" w:styleId="2">
    <w:name w:val="heading 2"/>
    <w:basedOn w:val="a"/>
    <w:next w:val="a"/>
    <w:qFormat/>
    <w:rsid w:val="00591A0E"/>
    <w:pPr>
      <w:keepNext/>
      <w:keepLines/>
      <w:spacing w:before="100" w:beforeAutospacing="1" w:after="100" w:afterAutospacing="1"/>
      <w:outlineLvl w:val="1"/>
    </w:pPr>
    <w:rPr>
      <w:rFonts w:ascii="Cambria" w:eastAsia="黑体" w:hAnsi="Cambria"/>
      <w:b/>
      <w:bCs/>
      <w:kern w:val="0"/>
      <w:sz w:val="36"/>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qFormat/>
    <w:rsid w:val="00591A0E"/>
    <w:pPr>
      <w:ind w:firstLineChars="200" w:firstLine="200"/>
    </w:pPr>
  </w:style>
  <w:style w:type="paragraph" w:styleId="a4">
    <w:name w:val="Body Text Indent"/>
    <w:basedOn w:val="a"/>
    <w:qFormat/>
    <w:rsid w:val="00591A0E"/>
    <w:pPr>
      <w:ind w:firstLine="645"/>
    </w:pPr>
    <w:rPr>
      <w:rFonts w:ascii="仿宋_GB2312" w:eastAsia="仿宋_GB2312" w:hAnsi="Calibri"/>
      <w:sz w:val="32"/>
      <w:szCs w:val="32"/>
    </w:rPr>
  </w:style>
  <w:style w:type="paragraph" w:styleId="a5">
    <w:name w:val="Date"/>
    <w:basedOn w:val="a"/>
    <w:next w:val="a"/>
    <w:qFormat/>
    <w:rsid w:val="00591A0E"/>
    <w:pPr>
      <w:ind w:leftChars="2500" w:left="100"/>
    </w:pPr>
  </w:style>
  <w:style w:type="paragraph" w:styleId="a6">
    <w:name w:val="Balloon Text"/>
    <w:basedOn w:val="a"/>
    <w:semiHidden/>
    <w:qFormat/>
    <w:rsid w:val="00591A0E"/>
    <w:rPr>
      <w:sz w:val="18"/>
      <w:szCs w:val="18"/>
    </w:rPr>
  </w:style>
  <w:style w:type="paragraph" w:styleId="a7">
    <w:name w:val="footer"/>
    <w:basedOn w:val="a"/>
    <w:link w:val="Char"/>
    <w:qFormat/>
    <w:rsid w:val="00591A0E"/>
    <w:pPr>
      <w:tabs>
        <w:tab w:val="center" w:pos="4153"/>
        <w:tab w:val="right" w:pos="8306"/>
      </w:tabs>
      <w:snapToGrid w:val="0"/>
      <w:jc w:val="left"/>
    </w:pPr>
    <w:rPr>
      <w:sz w:val="18"/>
      <w:szCs w:val="18"/>
    </w:rPr>
  </w:style>
  <w:style w:type="paragraph" w:styleId="a8">
    <w:name w:val="header"/>
    <w:basedOn w:val="a"/>
    <w:link w:val="Char0"/>
    <w:qFormat/>
    <w:rsid w:val="00591A0E"/>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Normal (Web)"/>
    <w:basedOn w:val="a"/>
    <w:unhideWhenUsed/>
    <w:qFormat/>
    <w:rsid w:val="00591A0E"/>
    <w:pPr>
      <w:spacing w:before="100" w:beforeAutospacing="1" w:after="100" w:afterAutospacing="1"/>
      <w:ind w:right="238"/>
      <w:jc w:val="left"/>
    </w:pPr>
    <w:rPr>
      <w:b/>
      <w:kern w:val="0"/>
      <w:sz w:val="24"/>
      <w:szCs w:val="20"/>
    </w:rPr>
  </w:style>
  <w:style w:type="character" w:styleId="aa">
    <w:name w:val="Strong"/>
    <w:qFormat/>
    <w:rsid w:val="00591A0E"/>
    <w:rPr>
      <w:b/>
    </w:rPr>
  </w:style>
  <w:style w:type="character" w:styleId="ab">
    <w:name w:val="page number"/>
    <w:qFormat/>
    <w:rsid w:val="00591A0E"/>
  </w:style>
  <w:style w:type="character" w:customStyle="1" w:styleId="Char">
    <w:name w:val="页脚 Char"/>
    <w:link w:val="a7"/>
    <w:qFormat/>
    <w:rsid w:val="00591A0E"/>
    <w:rPr>
      <w:rFonts w:eastAsia="宋体"/>
      <w:kern w:val="2"/>
      <w:sz w:val="18"/>
      <w:szCs w:val="18"/>
      <w:lang w:val="en-US" w:eastAsia="zh-CN" w:bidi="ar-SA"/>
    </w:rPr>
  </w:style>
  <w:style w:type="character" w:customStyle="1" w:styleId="Char0">
    <w:name w:val="页眉 Char"/>
    <w:link w:val="a8"/>
    <w:qFormat/>
    <w:rsid w:val="00591A0E"/>
    <w:rPr>
      <w:rFonts w:ascii="Calibri" w:eastAsia="宋体" w:hAnsi="Calibri"/>
      <w:kern w:val="2"/>
      <w:sz w:val="18"/>
      <w:szCs w:val="18"/>
      <w:lang w:val="en-US" w:eastAsia="zh-CN" w:bidi="ar-SA"/>
    </w:rPr>
  </w:style>
  <w:style w:type="paragraph" w:customStyle="1" w:styleId="CharCharCharCharCharCharChar">
    <w:name w:val="Char Char Char Char Char Char Char"/>
    <w:basedOn w:val="a"/>
    <w:qFormat/>
    <w:rsid w:val="00591A0E"/>
    <w:rPr>
      <w:rFonts w:ascii="Tahoma" w:hAnsi="Tahoma"/>
      <w:sz w:val="24"/>
      <w:szCs w:val="20"/>
    </w:rPr>
  </w:style>
  <w:style w:type="paragraph" w:customStyle="1" w:styleId="Char1CharCharChar">
    <w:name w:val="Char1 Char Char Char"/>
    <w:basedOn w:val="a"/>
    <w:qFormat/>
    <w:rsid w:val="00591A0E"/>
    <w:pPr>
      <w:widowControl/>
      <w:spacing w:after="160" w:line="240" w:lineRule="exact"/>
      <w:jc w:val="left"/>
    </w:pPr>
    <w:rPr>
      <w:szCs w:val="20"/>
    </w:rPr>
  </w:style>
  <w:style w:type="paragraph" w:customStyle="1" w:styleId="Char1">
    <w:name w:val="Char"/>
    <w:basedOn w:val="a"/>
    <w:qFormat/>
    <w:rsid w:val="00591A0E"/>
    <w:rPr>
      <w:rFonts w:ascii="Tahoma" w:hAnsi="Tahoma"/>
      <w:sz w:val="24"/>
      <w:szCs w:val="20"/>
    </w:rPr>
  </w:style>
  <w:style w:type="paragraph" w:customStyle="1" w:styleId="CharChar3CharChar">
    <w:name w:val="Char Char3 Char Char"/>
    <w:basedOn w:val="a"/>
    <w:qFormat/>
    <w:rsid w:val="00591A0E"/>
    <w:rPr>
      <w:szCs w:val="21"/>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package" Target="../embeddings/Workbook1111.xlsx"/></Relationships>
</file>

<file path=word/charts/_rels/chart2.xml.rels><?xml version="1.0" encoding="UTF-8" standalone="yes"?>
<Relationships xmlns="http://schemas.openxmlformats.org/package/2006/relationships"><Relationship Id="rId1" Type="http://schemas.openxmlformats.org/officeDocument/2006/relationships/oleObject" Target="/home/user/Desktop/&#26032;&#24314;Excel&#25991;&#26723;.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a:defRPr lang="zh-CN" sz="1800" b="1" i="0" u="none" strike="noStrike" kern="1200" baseline="0">
                <a:solidFill>
                  <a:schemeClr val="tx1"/>
                </a:solidFill>
                <a:latin typeface="+mn-lt"/>
                <a:ea typeface="+mn-ea"/>
                <a:cs typeface="+mn-cs"/>
              </a:defRPr>
            </a:pPr>
            <a:r>
              <a:rPr lang="zh-CN" altLang="en-US" sz="1400" b="0"/>
              <a:t>收入决算</a:t>
            </a:r>
          </a:p>
        </c:rich>
      </c:tx>
      <c:layout/>
    </c:title>
    <c:plotArea>
      <c:layout/>
      <c:pieChart>
        <c:varyColors val="1"/>
        <c:ser>
          <c:idx val="0"/>
          <c:order val="0"/>
          <c:tx>
            <c:strRef>
              <c:f>Sheet1!$B$1</c:f>
              <c:strCache>
                <c:ptCount val="1"/>
                <c:pt idx="0">
                  <c:v>收入</c:v>
                </c:pt>
              </c:strCache>
            </c:strRef>
          </c:tx>
          <c:dLbls>
            <c:dLbl>
              <c:idx val="1"/>
              <c:layout>
                <c:manualLayout>
                  <c:x val="-2.1506444378501504E-2"/>
                  <c:y val="3.1631526250981104E-2"/>
                </c:manualLayout>
              </c:layout>
              <c:dLblPos val="bestFit"/>
              <c:showPercent val="1"/>
              <c:extLst>
                <c:ext xmlns:c15="http://schemas.microsoft.com/office/drawing/2012/chart" uri="{CE6537A1-D6FC-4f65-9D91-7224C49458BB}">
                  <c15:layout/>
                </c:ext>
              </c:extLst>
            </c:dLbl>
            <c:dLbl>
              <c:idx val="2"/>
              <c:layout>
                <c:manualLayout>
                  <c:x val="-3.7073815715098941E-2"/>
                  <c:y val="-1.07288895605745E-2"/>
                </c:manualLayout>
              </c:layout>
              <c:dLblPos val="bestFit"/>
              <c:showPercent val="1"/>
              <c:extLst>
                <c:ext xmlns:c15="http://schemas.microsoft.com/office/drawing/2012/chart" uri="{CE6537A1-D6FC-4f65-9D91-7224C49458BB}">
                  <c15:layout/>
                </c:ext>
              </c:extLst>
            </c:dLbl>
            <c:dLbl>
              <c:idx val="3"/>
              <c:layout>
                <c:manualLayout>
                  <c:x val="0.14684449125400509"/>
                  <c:y val="1.1080952045654803E-2"/>
                </c:manualLayout>
              </c:layout>
              <c:dLblPos val="bestFit"/>
              <c:showPercent val="1"/>
              <c:extLst>
                <c:ext xmlns:c15="http://schemas.microsoft.com/office/drawing/2012/chart" uri="{CE6537A1-D6FC-4f65-9D91-7224C49458BB}">
                  <c15:layout/>
                </c:ext>
              </c:extLst>
            </c:dLbl>
            <c:dLbl>
              <c:idx val="4"/>
              <c:layout>
                <c:manualLayout>
                  <c:x val="0.11853252358959104"/>
                  <c:y val="6.5607702783697985E-2"/>
                </c:manualLayout>
              </c:layout>
              <c:dLblPos val="bestFit"/>
              <c:showPercent val="1"/>
              <c:extLst>
                <c:ext xmlns:c15="http://schemas.microsoft.com/office/drawing/2012/chart" uri="{CE6537A1-D6FC-4f65-9D91-7224C49458BB}">
                  <c15:layout/>
                </c:ext>
              </c:extLst>
            </c:dLbl>
            <c:dLbl>
              <c:idx val="5"/>
              <c:layout>
                <c:manualLayout>
                  <c:x val="4.7742448779613013E-2"/>
                  <c:y val="-3.9339547951769228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10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ext>
            </c:extLst>
          </c:dLbls>
          <c:cat>
            <c:strRef>
              <c:f>Sheet1!$A$2:$A$7</c:f>
              <c:strCache>
                <c:ptCount val="6"/>
                <c:pt idx="0">
                  <c:v>财政拨款收入</c:v>
                </c:pt>
                <c:pt idx="1">
                  <c:v>上级补助收入</c:v>
                </c:pt>
                <c:pt idx="2">
                  <c:v>事业收入</c:v>
                </c:pt>
                <c:pt idx="3">
                  <c:v>经营收入</c:v>
                </c:pt>
                <c:pt idx="4">
                  <c:v>附属单位上缴</c:v>
                </c:pt>
                <c:pt idx="5">
                  <c:v>其他收入</c:v>
                </c:pt>
              </c:strCache>
            </c:strRef>
          </c:cat>
          <c:val>
            <c:numRef>
              <c:f>Sheet1!$B$2:$B$7</c:f>
              <c:numCache>
                <c:formatCode>General</c:formatCode>
                <c:ptCount val="6"/>
                <c:pt idx="0">
                  <c:v>5467.5</c:v>
                </c:pt>
                <c:pt idx="1">
                  <c:v>0</c:v>
                </c:pt>
                <c:pt idx="2">
                  <c:v>317.44</c:v>
                </c:pt>
                <c:pt idx="3">
                  <c:v>0</c:v>
                </c:pt>
                <c:pt idx="4">
                  <c:v>0</c:v>
                </c:pt>
                <c:pt idx="5">
                  <c:v>10.78</c:v>
                </c:pt>
              </c:numCache>
            </c:numRef>
          </c:val>
        </c:ser>
        <c:dLbls>
          <c:showVal val="1"/>
        </c:dLbls>
        <c:firstSliceAng val="0"/>
      </c:pieChart>
    </c:plotArea>
    <c:legend>
      <c:legendPos val="r"/>
      <c:layout/>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72175ec4-e53d-47f4-ac35-453c00408f06}"/>
      </c:ext>
    </c:extLst>
  </c:chart>
  <c:txPr>
    <a:bodyPr/>
    <a:lstStyle/>
    <a:p>
      <a:pPr>
        <a:defRPr lang="zh-CN"/>
      </a:pPr>
      <a:endParaRPr lang="zh-CN"/>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zh-CN"/>
  <c:chart>
    <c:title>
      <c:tx>
        <c:rich>
          <a:bodyPr rot="0" spcFirstLastPara="0" vertOverflow="ellipsis" vert="horz" wrap="square" anchor="ctr" anchorCtr="1"/>
          <a:lstStyle/>
          <a:p>
            <a:pPr defTabSz="914400">
              <a:defRPr lang="zh-CN" sz="1400" b="0" i="0" u="none" strike="noStrike" kern="1200" spc="0" baseline="0">
                <a:solidFill>
                  <a:schemeClr val="tx1"/>
                </a:solidFill>
                <a:latin typeface="+mn-lt"/>
                <a:ea typeface="+mn-ea"/>
                <a:cs typeface="+mn-cs"/>
              </a:defRPr>
            </a:pPr>
            <a:r>
              <a:rPr lang="zh-CN" altLang="en-US">
                <a:solidFill>
                  <a:schemeClr val="tx1"/>
                </a:solidFill>
              </a:rPr>
              <a:t>支出决算</a:t>
            </a:r>
          </a:p>
        </c:rich>
      </c:tx>
      <c:layout/>
      <c:spPr>
        <a:noFill/>
        <a:ln>
          <a:noFill/>
        </a:ln>
        <a:effectLst/>
      </c:spPr>
    </c:title>
    <c:plotArea>
      <c:layout/>
      <c:pieChart>
        <c:varyColors val="1"/>
        <c:ser>
          <c:idx val="0"/>
          <c:order val="0"/>
          <c:tx>
            <c:strRef>
              <c:f>Sheet0!$B$1</c:f>
              <c:strCache>
                <c:ptCount val="1"/>
                <c:pt idx="0">
                  <c:v>支出</c:v>
                </c:pt>
              </c:strCache>
            </c:strRef>
          </c:tx>
          <c:dPt>
            <c:idx val="0"/>
            <c:spPr>
              <a:solidFill>
                <a:srgbClr val="4F81BD"/>
              </a:solidFill>
              <a:ln w="19050">
                <a:solidFill>
                  <a:srgbClr val="FFFFFF"/>
                </a:solidFill>
              </a:ln>
              <a:effectLst/>
            </c:spPr>
          </c:dPt>
          <c:dPt>
            <c:idx val="1"/>
            <c:spPr>
              <a:solidFill>
                <a:srgbClr val="C0504D"/>
              </a:solidFill>
              <a:ln w="19050">
                <a:solidFill>
                  <a:srgbClr val="FFFFFF"/>
                </a:solidFill>
              </a:ln>
              <a:effectLst/>
            </c:spPr>
          </c:dPt>
          <c:dPt>
            <c:idx val="2"/>
            <c:spPr>
              <a:solidFill>
                <a:srgbClr val="9BBB59"/>
              </a:solidFill>
              <a:ln w="19050">
                <a:solidFill>
                  <a:srgbClr val="FFFFFF"/>
                </a:solidFill>
              </a:ln>
              <a:effectLst/>
            </c:spPr>
          </c:dPt>
          <c:dPt>
            <c:idx val="3"/>
            <c:spPr>
              <a:solidFill>
                <a:srgbClr val="8064A2"/>
              </a:solidFill>
              <a:ln w="19050">
                <a:solidFill>
                  <a:srgbClr val="FFFFFF"/>
                </a:solidFill>
              </a:ln>
              <a:effectLst/>
            </c:spPr>
          </c:dPt>
          <c:dPt>
            <c:idx val="4"/>
            <c:spPr>
              <a:solidFill>
                <a:srgbClr val="4BACC6"/>
              </a:solidFill>
              <a:ln w="19050">
                <a:solidFill>
                  <a:srgbClr val="FFFFFF"/>
                </a:solidFill>
              </a:ln>
              <a:effectLst/>
            </c:spPr>
          </c:dPt>
          <c:dLbls>
            <c:dLbl>
              <c:idx val="2"/>
              <c:layout>
                <c:manualLayout>
                  <c:x val="-3.9003729401150031E-2"/>
                  <c:y val="3.2827143610787812E-2"/>
                </c:manualLayout>
              </c:layout>
              <c:dLblPos val="bestFit"/>
              <c:showPercent val="1"/>
              <c:extLst>
                <c:ext xmlns:c15="http://schemas.microsoft.com/office/drawing/2012/chart" uri="{CE6537A1-D6FC-4f65-9D91-7224C49458BB}">
                  <c15:layout/>
                </c:ext>
              </c:extLst>
            </c:dLbl>
            <c:dLbl>
              <c:idx val="3"/>
              <c:layout>
                <c:manualLayout>
                  <c:x val="2.8471237970253829E-2"/>
                  <c:y val="7.5390055409740543E-3"/>
                </c:manualLayout>
              </c:layout>
              <c:dLblPos val="bestFit"/>
              <c:showPercent val="1"/>
              <c:extLst>
                <c:ext xmlns:c15="http://schemas.microsoft.com/office/drawing/2012/chart" uri="{CE6537A1-D6FC-4f65-9D91-7224C49458BB}">
                  <c15:layout/>
                </c:ext>
              </c:extLst>
            </c:dLbl>
            <c:dLbl>
              <c:idx val="4"/>
              <c:layout>
                <c:manualLayout>
                  <c:x val="9.7432294613590667E-2"/>
                  <c:y val="1.0510960756593199E-2"/>
                </c:manualLayout>
              </c:layout>
              <c:dLblPos val="bestFit"/>
              <c:showPercent val="1"/>
              <c:extLst>
                <c:ext xmlns:c15="http://schemas.microsoft.com/office/drawing/2012/chart" uri="{CE6537A1-D6FC-4f65-9D91-7224C49458BB}">
                  <c15:layout/>
                </c:ext>
              </c:extLst>
            </c:dLbl>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solidFill>
                    <a:latin typeface="+mn-lt"/>
                    <a:ea typeface="+mn-ea"/>
                    <a:cs typeface="+mn-cs"/>
                  </a:defRPr>
                </a:pPr>
                <a:endParaRPr lang="zh-CN"/>
              </a:p>
            </c:txPr>
            <c:dLblPos val="bestFit"/>
            <c:showPercent val="1"/>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prstDash val="solid"/>
                      <a:round/>
                    </a:ln>
                    <a:effectLst/>
                  </c:spPr>
                </c15:leaderLines>
              </c:ext>
            </c:extLst>
          </c:dLbls>
          <c:cat>
            <c:strRef>
              <c:f>Sheet0!$A$2:$A$6</c:f>
              <c:strCache>
                <c:ptCount val="5"/>
                <c:pt idx="0">
                  <c:v>基本支出</c:v>
                </c:pt>
                <c:pt idx="1">
                  <c:v>项目支出</c:v>
                </c:pt>
                <c:pt idx="2">
                  <c:v>上缴上级支出</c:v>
                </c:pt>
                <c:pt idx="3">
                  <c:v>经营支出</c:v>
                </c:pt>
                <c:pt idx="4">
                  <c:v>对附属单位补助支出</c:v>
                </c:pt>
              </c:strCache>
            </c:strRef>
          </c:cat>
          <c:val>
            <c:numRef>
              <c:f>Sheet0!$B$2:$B$6</c:f>
              <c:numCache>
                <c:formatCode>General</c:formatCode>
                <c:ptCount val="5"/>
                <c:pt idx="0">
                  <c:v>5332.07</c:v>
                </c:pt>
                <c:pt idx="1">
                  <c:v>479.26</c:v>
                </c:pt>
                <c:pt idx="2">
                  <c:v>0</c:v>
                </c:pt>
                <c:pt idx="3">
                  <c:v>0</c:v>
                </c:pt>
                <c:pt idx="4">
                  <c:v>0</c:v>
                </c:pt>
              </c:numCache>
            </c:numRef>
          </c:val>
        </c:ser>
        <c:dLbls>
          <c:showPercent val="1"/>
        </c:dLbls>
        <c:firstSliceAng val="0"/>
      </c:pieChart>
      <c:spPr>
        <a:noFill/>
        <a:ln>
          <a:noFill/>
        </a:ln>
        <a:effectLst/>
      </c:spPr>
    </c:plotArea>
    <c:legend>
      <c:legendPos val="b"/>
      <c:legendEntry>
        <c:idx val="0"/>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1"/>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2"/>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3"/>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egendEntry>
        <c:idx val="4"/>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Entry>
      <c:layout/>
      <c:spPr>
        <a:noFill/>
        <a:ln>
          <a:noFill/>
        </a:ln>
        <a:effectLst/>
      </c:spPr>
      <c:txPr>
        <a:bodyPr rot="0" spcFirstLastPara="0" vertOverflow="ellipsis" vert="horz" wrap="square" anchor="ctr" anchorCtr="1"/>
        <a:lstStyle/>
        <a:p>
          <a:pPr>
            <a:defRPr lang="zh-CN" sz="900" b="0" i="0" u="none" strike="noStrike" kern="1200" baseline="0">
              <a:solidFill>
                <a:schemeClr val="tx1"/>
              </a:solidFill>
              <a:latin typeface="+mn-lt"/>
              <a:ea typeface="+mn-ea"/>
              <a:cs typeface="+mn-cs"/>
            </a:defRPr>
          </a:pPr>
          <a:endParaRPr lang="zh-CN"/>
        </a:p>
      </c:txPr>
    </c:legend>
    <c:plotVisOnly val="1"/>
    <c:dispBlanksAs val="zero"/>
    <c:extLst>
      <c:ext uri="{0b15fc19-7d7d-44ad-8c2d-2c3a37ce22c3}">
        <chartProps xmlns="https://web.wps.cn/et/2018/main" chartId="{728b7d62-52e8-44d0-bf99-da020647457a}"/>
      </c:ext>
    </c:extLst>
  </c:chart>
  <c:spPr>
    <a:ln w="9525" cap="flat" cmpd="sng" algn="ctr">
      <a:solidFill>
        <a:srgbClr val="D9D9D9">
          <a:lumMod val="15000"/>
          <a:lumOff val="85000"/>
        </a:srgbClr>
      </a:solidFill>
      <a:prstDash val="solid"/>
      <a:round/>
    </a:ln>
    <a:effectLst/>
  </c:spPr>
  <c:txPr>
    <a:bodyPr/>
    <a:lstStyle/>
    <a:p>
      <a:pPr>
        <a:defRPr lang="zh-CN"/>
      </a:pPr>
      <a:endParaRPr lang="zh-CN"/>
    </a:p>
  </c:txPr>
  <c:externalData r:id="rId1"/>
</c:chartSpac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91</TotalTime>
  <Pages>11</Pages>
  <Words>3151</Words>
  <Characters>526</Characters>
  <Application>Microsoft Office Word</Application>
  <DocSecurity>0</DocSecurity>
  <Lines>4</Lines>
  <Paragraphs>7</Paragraphs>
  <ScaleCrop>false</ScaleCrop>
  <Company>Microsoft</Company>
  <LinksUpToDate>false</LinksUpToDate>
  <CharactersWithSpaces>3670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北京市财政局关于做好向市人大常委会报送2015年度市级部门决算（草案）</dc:title>
  <dc:creator>常程</dc:creator>
  <cp:lastModifiedBy>Administrator</cp:lastModifiedBy>
  <cp:revision>90</cp:revision>
  <cp:lastPrinted>2020-08-07T11:39:00Z</cp:lastPrinted>
  <dcterms:created xsi:type="dcterms:W3CDTF">2017-07-11T15:16:00Z</dcterms:created>
  <dcterms:modified xsi:type="dcterms:W3CDTF">2025-09-15T07:35:00Z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435078ACFECC4A5A8A519EF4C3681114_13</vt:lpwstr>
  </property>
  <property fmtid="{D5CDD505-2E9C-101B-9397-08002B2CF9AE}" pid="4" name="KSOTemplateDocerSaveRecord">
    <vt:lpwstr>eyJoZGlkIjoiZTY3ODg5MDU1M2ZkODEyYWM4NmZjYTFjMTdiNTc5MjciLCJ1c2VySWQiOiI5ODAxMjk3ODcifQ==</vt:lpwstr>
  </property>
</Properties>
</file>