
<file path=[Content_Types].xml><?xml version="1.0" encoding="utf-8"?>
<Types xmlns="http://schemas.openxmlformats.org/package/2006/content-types">
  <Default Extension="xlsx" ContentType="application/vnd.openxmlformats-officedocument.spreadsheetml.sheet"/>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EE49EC">
      <w:pPr>
        <w:jc w:val="center"/>
        <w:rPr>
          <w:rFonts w:ascii="仿宋_GB2312" w:eastAsia="仿宋_GB2312"/>
          <w:b/>
          <w:sz w:val="32"/>
          <w:szCs w:val="32"/>
        </w:rPr>
      </w:pPr>
    </w:p>
    <w:p w14:paraId="5626CA37">
      <w:pPr>
        <w:jc w:val="center"/>
        <w:rPr>
          <w:rFonts w:ascii="黑体" w:eastAsia="黑体"/>
          <w:sz w:val="72"/>
          <w:szCs w:val="72"/>
        </w:rPr>
      </w:pPr>
    </w:p>
    <w:p w14:paraId="032E955B">
      <w:pPr>
        <w:jc w:val="center"/>
        <w:rPr>
          <w:rFonts w:ascii="黑体" w:eastAsia="黑体"/>
          <w:sz w:val="72"/>
          <w:szCs w:val="72"/>
        </w:rPr>
      </w:pPr>
    </w:p>
    <w:p w14:paraId="38AE6505">
      <w:pPr>
        <w:jc w:val="center"/>
        <w:rPr>
          <w:rFonts w:ascii="黑体" w:eastAsia="黑体"/>
          <w:sz w:val="72"/>
          <w:szCs w:val="72"/>
        </w:rPr>
      </w:pPr>
    </w:p>
    <w:p w14:paraId="2C6E8ECB">
      <w:pPr>
        <w:jc w:val="center"/>
        <w:rPr>
          <w:rFonts w:ascii="黑体" w:eastAsia="黑体"/>
          <w:sz w:val="72"/>
          <w:szCs w:val="72"/>
        </w:rPr>
      </w:pPr>
    </w:p>
    <w:p w14:paraId="764844DC">
      <w:pPr>
        <w:jc w:val="center"/>
        <w:rPr>
          <w:rFonts w:ascii="黑体" w:eastAsia="黑体"/>
          <w:sz w:val="72"/>
          <w:szCs w:val="72"/>
        </w:rPr>
      </w:pPr>
      <w:r>
        <w:rPr>
          <w:rFonts w:hint="eastAsia" w:ascii="黑体" w:eastAsia="黑体"/>
          <w:sz w:val="72"/>
          <w:szCs w:val="72"/>
        </w:rPr>
        <w:t>202</w:t>
      </w:r>
      <w:r>
        <w:rPr>
          <w:rFonts w:hint="eastAsia" w:ascii="黑体" w:eastAsia="黑体"/>
          <w:sz w:val="72"/>
          <w:szCs w:val="72"/>
          <w:lang w:val="en-US" w:eastAsia="zh-CN"/>
        </w:rPr>
        <w:t>4</w:t>
      </w:r>
      <w:r>
        <w:rPr>
          <w:rFonts w:hint="eastAsia" w:ascii="黑体" w:eastAsia="黑体"/>
          <w:sz w:val="72"/>
          <w:szCs w:val="72"/>
        </w:rPr>
        <w:t>年度部门决算（</w:t>
      </w:r>
      <w:r>
        <w:rPr>
          <w:rFonts w:hint="eastAsia" w:ascii="黑体" w:eastAsia="黑体"/>
          <w:sz w:val="72"/>
          <w:szCs w:val="72"/>
          <w:lang w:val="en-US" w:eastAsia="zh-CN"/>
        </w:rPr>
        <w:t>公开</w:t>
      </w:r>
      <w:r>
        <w:rPr>
          <w:rFonts w:ascii="黑体" w:eastAsia="黑体"/>
          <w:sz w:val="72"/>
          <w:szCs w:val="72"/>
        </w:rPr>
        <w:t>）</w:t>
      </w:r>
    </w:p>
    <w:p w14:paraId="12D37FD9">
      <w:pPr>
        <w:jc w:val="center"/>
        <w:rPr>
          <w:rFonts w:ascii="黑体" w:eastAsia="黑体"/>
          <w:sz w:val="52"/>
          <w:szCs w:val="52"/>
        </w:rPr>
      </w:pPr>
    </w:p>
    <w:p w14:paraId="1024D24F">
      <w:pPr>
        <w:jc w:val="center"/>
        <w:rPr>
          <w:rFonts w:ascii="黑体" w:eastAsia="黑体"/>
          <w:sz w:val="52"/>
          <w:szCs w:val="52"/>
        </w:rPr>
      </w:pPr>
    </w:p>
    <w:p w14:paraId="07CBEECC">
      <w:pPr>
        <w:jc w:val="center"/>
        <w:rPr>
          <w:rFonts w:ascii="黑体" w:eastAsia="黑体"/>
          <w:sz w:val="52"/>
          <w:szCs w:val="52"/>
        </w:rPr>
      </w:pPr>
    </w:p>
    <w:p w14:paraId="13B04C69">
      <w:pPr>
        <w:jc w:val="center"/>
        <w:rPr>
          <w:rFonts w:ascii="黑体" w:eastAsia="黑体"/>
          <w:sz w:val="52"/>
          <w:szCs w:val="52"/>
        </w:rPr>
      </w:pPr>
    </w:p>
    <w:p w14:paraId="5F5FE868">
      <w:pPr>
        <w:jc w:val="center"/>
        <w:rPr>
          <w:rFonts w:ascii="黑体" w:eastAsia="黑体"/>
          <w:sz w:val="32"/>
          <w:szCs w:val="32"/>
        </w:rPr>
      </w:pPr>
    </w:p>
    <w:p w14:paraId="436C55EE">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14:paraId="4EF8A068">
      <w:pPr>
        <w:spacing w:line="500" w:lineRule="exact"/>
        <w:ind w:firstLine="645"/>
        <w:jc w:val="center"/>
        <w:rPr>
          <w:rFonts w:hint="eastAsia" w:ascii="宋体" w:hAnsi="宋体" w:cs="宋体"/>
          <w:b/>
          <w:bCs/>
          <w:kern w:val="0"/>
          <w:sz w:val="36"/>
          <w:szCs w:val="36"/>
        </w:rPr>
      </w:pPr>
    </w:p>
    <w:p w14:paraId="1530D420">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4</w:t>
      </w:r>
      <w:r>
        <w:rPr>
          <w:rFonts w:hint="eastAsia" w:ascii="宋体" w:hAnsi="宋体" w:cs="宋体"/>
          <w:bCs/>
          <w:spacing w:val="40"/>
          <w:kern w:val="0"/>
          <w:sz w:val="32"/>
          <w:szCs w:val="32"/>
        </w:rPr>
        <w:t>年度部门决算报表</w:t>
      </w:r>
    </w:p>
    <w:p w14:paraId="0E7E2936">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14:paraId="7E206864">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14:paraId="2F0E30DF">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14:paraId="59189F6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14:paraId="4E6B6DAD">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五、一般公共预算财政拨款支出决算表</w:t>
      </w:r>
    </w:p>
    <w:p w14:paraId="16D398FC">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w:t>
      </w:r>
      <w:r>
        <w:rPr>
          <w:rFonts w:ascii="仿宋_GB2312" w:hAnsi="仿宋" w:eastAsia="仿宋_GB2312" w:cs="宋体"/>
          <w:bCs/>
          <w:spacing w:val="40"/>
          <w:kern w:val="0"/>
          <w:sz w:val="32"/>
          <w:szCs w:val="32"/>
        </w:rPr>
        <w:t>基本支出决算表</w:t>
      </w:r>
    </w:p>
    <w:p w14:paraId="01058441">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七</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14:paraId="52AEB149">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八</w:t>
      </w:r>
      <w:r>
        <w:rPr>
          <w:rFonts w:hint="eastAsia" w:ascii="仿宋_GB2312" w:hAnsi="仿宋" w:eastAsia="仿宋_GB2312" w:cs="宋体"/>
          <w:bCs/>
          <w:spacing w:val="40"/>
          <w:kern w:val="0"/>
          <w:sz w:val="32"/>
          <w:szCs w:val="32"/>
        </w:rPr>
        <w:t>、</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14:paraId="0D960CF5">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lang w:eastAsia="zh-CN"/>
        </w:rPr>
        <w:t>九</w:t>
      </w:r>
      <w:r>
        <w:rPr>
          <w:rFonts w:hint="eastAsia" w:ascii="仿宋_GB2312" w:hAnsi="仿宋" w:eastAsia="仿宋_GB2312" w:cs="宋体"/>
          <w:bCs/>
          <w:spacing w:val="40"/>
          <w:kern w:val="0"/>
          <w:sz w:val="32"/>
          <w:szCs w:val="32"/>
        </w:rPr>
        <w:t>、国有资本经营预算财政拨款支出决算表</w:t>
      </w:r>
    </w:p>
    <w:p w14:paraId="61E36E60">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十、财政拨款“三公”经费支出决算表</w:t>
      </w:r>
    </w:p>
    <w:p w14:paraId="4A709536">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十一、政府采购情况表</w:t>
      </w:r>
    </w:p>
    <w:p w14:paraId="4212454A">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w:t>
      </w:r>
      <w:r>
        <w:rPr>
          <w:rFonts w:hint="eastAsia" w:ascii="仿宋_GB2312" w:hAnsi="仿宋" w:eastAsia="仿宋_GB2312" w:cs="宋体"/>
          <w:bCs/>
          <w:spacing w:val="40"/>
          <w:kern w:val="0"/>
          <w:sz w:val="32"/>
          <w:szCs w:val="32"/>
          <w:lang w:eastAsia="zh-CN"/>
        </w:rPr>
        <w:t>二</w:t>
      </w:r>
      <w:r>
        <w:rPr>
          <w:rFonts w:hint="eastAsia" w:ascii="仿宋_GB2312" w:hAnsi="仿宋" w:eastAsia="仿宋_GB2312" w:cs="宋体"/>
          <w:bCs/>
          <w:spacing w:val="40"/>
          <w:kern w:val="0"/>
          <w:sz w:val="32"/>
          <w:szCs w:val="32"/>
        </w:rPr>
        <w:t>、政府购买服务决算公开情况表</w:t>
      </w:r>
    </w:p>
    <w:p w14:paraId="5E5F183C">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年度部门决算说明</w:t>
      </w:r>
    </w:p>
    <w:p w14:paraId="4DD91046">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4</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14:paraId="323BE9C1">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4</w:t>
      </w:r>
      <w:r>
        <w:rPr>
          <w:rFonts w:hint="eastAsia" w:ascii="宋体" w:hAnsi="宋体" w:cs="宋体"/>
          <w:spacing w:val="40"/>
          <w:kern w:val="0"/>
          <w:sz w:val="32"/>
          <w:szCs w:val="32"/>
        </w:rPr>
        <w:t>年度部门绩效评价情况</w:t>
      </w:r>
    </w:p>
    <w:p w14:paraId="10D4E954">
      <w:pPr>
        <w:tabs>
          <w:tab w:val="center" w:pos="6979"/>
        </w:tabs>
        <w:spacing w:before="156" w:beforeLines="50" w:after="156" w:afterLines="50"/>
        <w:jc w:val="center"/>
        <w:rPr>
          <w:rFonts w:ascii="宋体" w:hAnsi="宋体" w:cs="宋体"/>
          <w:b/>
          <w:bCs/>
          <w:spacing w:val="40"/>
          <w:kern w:val="0"/>
          <w:sz w:val="32"/>
          <w:szCs w:val="32"/>
        </w:rPr>
      </w:pPr>
    </w:p>
    <w:p w14:paraId="0E497AD3">
      <w:pPr>
        <w:tabs>
          <w:tab w:val="center" w:pos="6979"/>
        </w:tabs>
        <w:spacing w:before="156" w:beforeLines="50" w:after="156" w:afterLines="50"/>
        <w:jc w:val="center"/>
        <w:rPr>
          <w:rFonts w:ascii="宋体" w:hAnsi="宋体" w:cs="宋体"/>
          <w:b/>
          <w:bCs/>
          <w:spacing w:val="40"/>
          <w:kern w:val="0"/>
          <w:sz w:val="32"/>
          <w:szCs w:val="32"/>
        </w:rPr>
      </w:pPr>
    </w:p>
    <w:p w14:paraId="5C97E60F">
      <w:pPr>
        <w:tabs>
          <w:tab w:val="center" w:pos="6979"/>
        </w:tabs>
        <w:spacing w:before="156" w:beforeLines="50" w:after="156" w:afterLines="50"/>
        <w:jc w:val="center"/>
        <w:rPr>
          <w:rFonts w:ascii="宋体" w:hAnsi="宋体" w:cs="宋体"/>
          <w:b/>
          <w:bCs/>
          <w:spacing w:val="40"/>
          <w:kern w:val="0"/>
          <w:sz w:val="32"/>
          <w:szCs w:val="32"/>
        </w:rPr>
      </w:pPr>
    </w:p>
    <w:p w14:paraId="5D3443E8">
      <w:pPr>
        <w:tabs>
          <w:tab w:val="center" w:pos="6979"/>
        </w:tabs>
        <w:spacing w:before="156" w:beforeLines="50" w:after="156" w:afterLines="50"/>
        <w:jc w:val="center"/>
        <w:rPr>
          <w:rFonts w:ascii="宋体" w:hAnsi="宋体" w:cs="宋体"/>
          <w:b/>
          <w:bCs/>
          <w:spacing w:val="40"/>
          <w:kern w:val="0"/>
          <w:sz w:val="32"/>
          <w:szCs w:val="32"/>
        </w:rPr>
      </w:pPr>
    </w:p>
    <w:p w14:paraId="00395C83">
      <w:pPr>
        <w:tabs>
          <w:tab w:val="center" w:pos="6979"/>
        </w:tabs>
        <w:spacing w:before="156" w:beforeLines="50" w:after="156" w:afterLines="50"/>
        <w:jc w:val="center"/>
        <w:rPr>
          <w:rFonts w:ascii="宋体" w:hAnsi="宋体" w:cs="宋体"/>
          <w:b/>
          <w:bCs/>
          <w:spacing w:val="40"/>
          <w:kern w:val="0"/>
          <w:sz w:val="32"/>
          <w:szCs w:val="32"/>
        </w:rPr>
      </w:pPr>
    </w:p>
    <w:p w14:paraId="1EAE8946">
      <w:pPr>
        <w:tabs>
          <w:tab w:val="center" w:pos="6979"/>
        </w:tabs>
        <w:spacing w:before="156" w:beforeLines="50" w:after="156" w:afterLines="50"/>
        <w:jc w:val="center"/>
        <w:rPr>
          <w:rFonts w:ascii="宋体" w:hAnsi="宋体" w:cs="宋体"/>
          <w:b/>
          <w:bCs/>
          <w:spacing w:val="40"/>
          <w:kern w:val="0"/>
          <w:sz w:val="32"/>
          <w:szCs w:val="32"/>
        </w:rPr>
      </w:pPr>
      <w:r>
        <w:rPr>
          <w:rFonts w:hint="eastAsia" w:ascii="宋体" w:hAnsi="宋体" w:cs="宋体"/>
          <w:b/>
          <w:bCs/>
          <w:spacing w:val="40"/>
          <w:kern w:val="0"/>
          <w:sz w:val="44"/>
          <w:szCs w:val="44"/>
        </w:rPr>
        <w:t xml:space="preserve">第一部分 </w:t>
      </w:r>
      <w:r>
        <w:rPr>
          <w:rFonts w:hint="eastAsia" w:ascii="宋体" w:hAnsi="宋体" w:cs="宋体"/>
          <w:b/>
          <w:bCs/>
          <w:spacing w:val="40"/>
          <w:kern w:val="0"/>
          <w:sz w:val="44"/>
          <w:szCs w:val="44"/>
          <w:lang w:eastAsia="zh-CN"/>
        </w:rPr>
        <w:t>2024</w:t>
      </w:r>
      <w:r>
        <w:rPr>
          <w:rFonts w:hint="eastAsia" w:ascii="宋体" w:hAnsi="宋体" w:cs="宋体"/>
          <w:b/>
          <w:bCs/>
          <w:spacing w:val="40"/>
          <w:kern w:val="0"/>
          <w:sz w:val="44"/>
          <w:szCs w:val="44"/>
        </w:rPr>
        <w:t>年度部门决算报表</w:t>
      </w:r>
    </w:p>
    <w:p w14:paraId="569BB007">
      <w:pPr>
        <w:pStyle w:val="2"/>
        <w:rPr>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b w:val="0"/>
          <w:bCs w:val="0"/>
          <w:sz w:val="28"/>
          <w:szCs w:val="28"/>
        </w:rPr>
        <w:t>报表详见附件。</w:t>
      </w:r>
    </w:p>
    <w:p w14:paraId="1524FDED">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年度部门决算说明</w:t>
      </w:r>
    </w:p>
    <w:p w14:paraId="79E266A7">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一、部门基本情况</w:t>
      </w:r>
    </w:p>
    <w:p w14:paraId="1125618B">
      <w:pPr>
        <w:tabs>
          <w:tab w:val="center" w:pos="6979"/>
        </w:tabs>
        <w:spacing w:line="580" w:lineRule="exact"/>
        <w:ind w:firstLine="420" w:firstLineChars="150"/>
        <w:rPr>
          <w:rFonts w:hint="eastAsia" w:ascii="仿宋_GB2312" w:hAnsi="Times New Roman" w:eastAsia="仿宋_GB2312" w:cs="Times New Roman"/>
          <w:b w:val="0"/>
          <w:bCs w:val="0"/>
          <w:kern w:val="0"/>
          <w:sz w:val="28"/>
          <w:szCs w:val="28"/>
          <w:lang w:val="en-US" w:eastAsia="zh-CN" w:bidi="ar-SA"/>
        </w:rPr>
      </w:pPr>
      <w:r>
        <w:rPr>
          <w:rFonts w:hint="eastAsia" w:ascii="仿宋_GB2312" w:hAnsi="Times New Roman" w:eastAsia="仿宋_GB2312" w:cs="Times New Roman"/>
          <w:b w:val="0"/>
          <w:bCs w:val="0"/>
          <w:kern w:val="0"/>
          <w:sz w:val="28"/>
          <w:szCs w:val="28"/>
          <w:lang w:val="en-US" w:eastAsia="zh-CN" w:bidi="ar-SA"/>
        </w:rPr>
        <w:t>北京演艺集团有限责任公司旗下拥有26家单位，其中25家单位均为企业，仅有一家北京市杂技学校为事业单位，25家企业包含：中国杂技团、中国评剧院、中国木偶艺术剧院、北京歌剧舞剧院、北京儿童艺术剧院、北京曲艺团、北京民族乐团、北京市河北梆子剧团、北京市曲剧团9家文艺院团，以及北京市电影公司、国家体育馆，以及音像公司、传媒公司、艺发公司、舞美公司、体育公司、军艺英华公司、电影器材、新影联（票务）、京演（香港）公司等。</w:t>
      </w:r>
    </w:p>
    <w:p w14:paraId="5AEDDA2C">
      <w:pPr>
        <w:tabs>
          <w:tab w:val="center" w:pos="6979"/>
        </w:tabs>
        <w:spacing w:line="580" w:lineRule="exact"/>
        <w:ind w:firstLine="420" w:firstLineChars="150"/>
        <w:rPr>
          <w:rFonts w:hint="default" w:ascii="仿宋_GB2312" w:hAnsi="Times New Roman" w:eastAsia="仿宋_GB2312" w:cs="Times New Roman"/>
          <w:b w:val="0"/>
          <w:bCs w:val="0"/>
          <w:kern w:val="0"/>
          <w:sz w:val="28"/>
          <w:szCs w:val="28"/>
          <w:lang w:val="en-US" w:eastAsia="zh-CN" w:bidi="ar-SA"/>
        </w:rPr>
      </w:pPr>
      <w:r>
        <w:rPr>
          <w:rFonts w:hint="eastAsia" w:ascii="仿宋_GB2312" w:hAnsi="Times New Roman" w:eastAsia="仿宋_GB2312" w:cs="Times New Roman"/>
          <w:b w:val="0"/>
          <w:bCs w:val="0"/>
          <w:kern w:val="0"/>
          <w:sz w:val="28"/>
          <w:szCs w:val="28"/>
          <w:lang w:val="en-US" w:eastAsia="zh-CN" w:bidi="ar-SA"/>
        </w:rPr>
        <w:t>北京演艺集团是市属国有大型文化企业，组建于2009年5月，肩负着整合资源，打造国有骨干文化企业，服务北京全国文化中心建设，发挥文化体制改革示范引领作用的重要使命。集团组建以来，坚持把社会效益放在首位，努力实现社会效益和经济效益相统一的发展定位，按照坚持社会主义先进文化方向、坚持改革创新、坚持文艺精品战略、坚持文化走出去的方针，始终以人民为创作导向、以演出为中心环节，聚焦“三精”目标任务，推行“出精品、出票房、出市场占有率”的经营目标责任制，加强文艺精品创作生产、线上线下演出平台品牌推广，为所属文艺院团及其他二级企业发展提供战略支撑平台。</w:t>
      </w:r>
    </w:p>
    <w:p w14:paraId="06E722F4">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14:paraId="091D5F8D">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110585.92</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63530.33</w:t>
      </w:r>
      <w:r>
        <w:rPr>
          <w:rFonts w:hint="eastAsia" w:ascii="仿宋_GB2312" w:eastAsia="仿宋_GB2312"/>
          <w:sz w:val="28"/>
          <w:szCs w:val="28"/>
        </w:rPr>
        <w:t>万元，增长</w:t>
      </w:r>
      <w:r>
        <w:rPr>
          <w:rFonts w:hint="eastAsia" w:ascii="仿宋_GB2312" w:eastAsia="仿宋_GB2312"/>
          <w:sz w:val="28"/>
          <w:szCs w:val="28"/>
          <w:lang w:val="en-US" w:eastAsia="zh-CN"/>
        </w:rPr>
        <w:t>135.01</w:t>
      </w:r>
      <w:r>
        <w:rPr>
          <w:rFonts w:hint="eastAsia" w:ascii="仿宋_GB2312" w:eastAsia="仿宋_GB2312"/>
          <w:sz w:val="28"/>
          <w:szCs w:val="28"/>
        </w:rPr>
        <w:t>%。</w:t>
      </w:r>
    </w:p>
    <w:p w14:paraId="459B3A1A">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14:paraId="366D42D1">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年度本年收入合计</w:t>
      </w:r>
      <w:r>
        <w:rPr>
          <w:rFonts w:ascii="仿宋_GB2312" w:eastAsia="仿宋_GB2312"/>
          <w:sz w:val="28"/>
          <w:szCs w:val="28"/>
        </w:rPr>
        <w:t>103207.15</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59650.74</w:t>
      </w:r>
      <w:r>
        <w:rPr>
          <w:rFonts w:hint="eastAsia" w:ascii="仿宋_GB2312" w:eastAsia="仿宋_GB2312"/>
          <w:sz w:val="28"/>
          <w:szCs w:val="28"/>
        </w:rPr>
        <w:t>万元，增长</w:t>
      </w:r>
      <w:r>
        <w:rPr>
          <w:rFonts w:hint="eastAsia" w:ascii="仿宋_GB2312" w:eastAsia="仿宋_GB2312"/>
          <w:sz w:val="28"/>
          <w:szCs w:val="28"/>
          <w:lang w:val="en-US" w:eastAsia="zh-CN"/>
        </w:rPr>
        <w:t>136.95</w:t>
      </w:r>
      <w:r>
        <w:rPr>
          <w:rFonts w:hint="eastAsia" w:ascii="仿宋_GB2312" w:eastAsia="仿宋_GB2312"/>
          <w:sz w:val="28"/>
          <w:szCs w:val="28"/>
        </w:rPr>
        <w:t>%</w:t>
      </w:r>
      <w:r>
        <w:rPr>
          <w:rFonts w:hint="eastAsia" w:ascii="仿宋_GB2312" w:eastAsia="仿宋_GB2312"/>
          <w:sz w:val="28"/>
          <w:szCs w:val="28"/>
          <w:lang w:eastAsia="zh-CN"/>
        </w:rPr>
        <w:t>。</w:t>
      </w:r>
    </w:p>
    <w:p w14:paraId="1A3EB0D8">
      <w:pPr>
        <w:numPr>
          <w:ilvl w:val="0"/>
          <w:numId w:val="0"/>
        </w:numPr>
        <w:tabs>
          <w:tab w:val="center" w:pos="6979"/>
        </w:tabs>
        <w:spacing w:line="580" w:lineRule="exact"/>
        <w:ind w:firstLine="560" w:firstLineChars="200"/>
        <w:rPr>
          <w:rFonts w:hint="eastAsia" w:ascii="仿宋_GB2312" w:eastAsia="仿宋_GB2312"/>
          <w:sz w:val="28"/>
          <w:szCs w:val="28"/>
          <w:lang w:eastAsia="zh-CN"/>
        </w:rPr>
      </w:pPr>
      <w:r>
        <w:rPr>
          <w:rFonts w:hint="eastAsia" w:ascii="仿宋_GB2312" w:eastAsia="仿宋_GB2312"/>
          <w:sz w:val="28"/>
          <w:szCs w:val="28"/>
          <w:lang w:val="en-US" w:eastAsia="zh-CN"/>
        </w:rPr>
        <w:t>1.</w:t>
      </w:r>
      <w:r>
        <w:rPr>
          <w:rFonts w:hint="eastAsia" w:ascii="仿宋_GB2312" w:eastAsia="仿宋_GB2312"/>
          <w:sz w:val="28"/>
          <w:szCs w:val="28"/>
        </w:rPr>
        <w:t>财政拨款收入</w:t>
      </w:r>
      <w:r>
        <w:rPr>
          <w:rFonts w:ascii="仿宋_GB2312" w:eastAsia="仿宋_GB2312"/>
          <w:sz w:val="28"/>
          <w:szCs w:val="28"/>
        </w:rPr>
        <w:t>102878.93</w:t>
      </w:r>
      <w:r>
        <w:rPr>
          <w:rFonts w:hint="eastAsia" w:ascii="仿宋_GB2312" w:eastAsia="仿宋_GB2312"/>
          <w:sz w:val="28"/>
          <w:szCs w:val="28"/>
        </w:rPr>
        <w:t>万元，占收入合计的</w:t>
      </w:r>
      <w:r>
        <w:rPr>
          <w:rFonts w:hint="eastAsia" w:ascii="仿宋_GB2312" w:eastAsia="仿宋_GB2312"/>
          <w:sz w:val="28"/>
          <w:szCs w:val="28"/>
          <w:lang w:eastAsia="zh-CN"/>
        </w:rPr>
        <w:t>99.68%。</w:t>
      </w:r>
      <w:r>
        <w:rPr>
          <w:rFonts w:hint="eastAsia" w:ascii="仿宋_GB2312" w:eastAsia="仿宋_GB2312"/>
          <w:sz w:val="28"/>
          <w:szCs w:val="28"/>
        </w:rPr>
        <w:t>其中：</w:t>
      </w:r>
      <w:r>
        <w:rPr>
          <w:rFonts w:hint="eastAsia" w:ascii="仿宋_GB2312" w:eastAsia="仿宋_GB2312"/>
          <w:sz w:val="28"/>
          <w:szCs w:val="28"/>
          <w:lang w:eastAsia="zh-CN"/>
        </w:rPr>
        <w:t>一般公共预算财政拨款收入</w:t>
      </w:r>
      <w:r>
        <w:rPr>
          <w:rFonts w:ascii="仿宋_GB2312" w:eastAsia="仿宋_GB2312"/>
          <w:sz w:val="28"/>
          <w:szCs w:val="28"/>
        </w:rPr>
        <w:t>102878.93</w:t>
      </w:r>
      <w:r>
        <w:rPr>
          <w:rFonts w:hint="eastAsia" w:ascii="仿宋_GB2312" w:eastAsia="仿宋_GB2312"/>
          <w:sz w:val="28"/>
          <w:szCs w:val="28"/>
        </w:rPr>
        <w:t>万元，占收入合计的</w:t>
      </w:r>
      <w:r>
        <w:rPr>
          <w:rFonts w:hint="eastAsia" w:ascii="仿宋_GB2312" w:eastAsia="仿宋_GB2312"/>
          <w:sz w:val="28"/>
          <w:szCs w:val="28"/>
          <w:lang w:eastAsia="zh-CN"/>
        </w:rPr>
        <w:t>99.68</w:t>
      </w:r>
      <w:r>
        <w:rPr>
          <w:rFonts w:hint="eastAsia" w:ascii="仿宋_GB2312" w:eastAsia="仿宋_GB2312"/>
          <w:sz w:val="28"/>
          <w:szCs w:val="28"/>
        </w:rPr>
        <w:t>%；</w:t>
      </w:r>
      <w:r>
        <w:rPr>
          <w:rFonts w:hint="eastAsia" w:ascii="仿宋_GB2312" w:eastAsia="仿宋_GB2312"/>
          <w:sz w:val="28"/>
          <w:szCs w:val="28"/>
          <w:lang w:eastAsia="zh-CN"/>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r>
        <w:rPr>
          <w:rFonts w:hint="eastAsia" w:ascii="仿宋_GB2312" w:eastAsia="仿宋_GB2312"/>
          <w:sz w:val="28"/>
          <w:szCs w:val="28"/>
          <w:lang w:eastAsia="zh-CN"/>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70F278A">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2.</w:t>
      </w:r>
      <w:r>
        <w:rPr>
          <w:rFonts w:hint="eastAsia" w:ascii="仿宋_GB2312" w:eastAsia="仿宋_GB2312"/>
          <w:sz w:val="28"/>
          <w:szCs w:val="28"/>
        </w:rPr>
        <w:t>上级补助收入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0AF32ECF">
      <w:pPr>
        <w:numPr>
          <w:ilvl w:val="0"/>
          <w:numId w:val="0"/>
        </w:num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事业收入</w:t>
      </w:r>
      <w:r>
        <w:rPr>
          <w:rFonts w:ascii="仿宋_GB2312" w:eastAsia="仿宋_GB2312"/>
          <w:sz w:val="28"/>
          <w:szCs w:val="28"/>
        </w:rPr>
        <w:t>317.44</w:t>
      </w:r>
      <w:r>
        <w:rPr>
          <w:rFonts w:hint="eastAsia" w:ascii="仿宋_GB2312" w:eastAsia="仿宋_GB2312"/>
          <w:sz w:val="28"/>
          <w:szCs w:val="28"/>
        </w:rPr>
        <w:t>万元，占收入合计的</w:t>
      </w:r>
      <w:r>
        <w:rPr>
          <w:rFonts w:hint="eastAsia" w:ascii="仿宋_GB2312" w:eastAsia="仿宋_GB2312"/>
          <w:sz w:val="28"/>
          <w:szCs w:val="28"/>
          <w:lang w:eastAsia="zh-CN"/>
        </w:rPr>
        <w:t>0.31</w:t>
      </w:r>
      <w:r>
        <w:rPr>
          <w:rFonts w:hint="eastAsia" w:ascii="仿宋_GB2312" w:eastAsia="仿宋_GB2312"/>
          <w:sz w:val="28"/>
          <w:szCs w:val="28"/>
        </w:rPr>
        <w:t>%；</w:t>
      </w:r>
    </w:p>
    <w:p w14:paraId="62BE705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44177EFB">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hint="eastAsia" w:ascii="仿宋_GB2312" w:eastAsia="仿宋_GB2312"/>
          <w:sz w:val="28"/>
          <w:szCs w:val="28"/>
          <w:lang w:eastAsia="zh-CN"/>
        </w:rPr>
        <w:t>0</w:t>
      </w:r>
      <w:r>
        <w:rPr>
          <w:rFonts w:hint="eastAsia" w:ascii="仿宋_GB2312" w:eastAsia="仿宋_GB2312"/>
          <w:sz w:val="28"/>
          <w:szCs w:val="28"/>
        </w:rPr>
        <w:t>%；</w:t>
      </w:r>
    </w:p>
    <w:p w14:paraId="386CB31D">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10.78</w:t>
      </w:r>
      <w:r>
        <w:rPr>
          <w:rFonts w:hint="eastAsia" w:ascii="仿宋_GB2312" w:eastAsia="仿宋_GB2312"/>
          <w:sz w:val="28"/>
          <w:szCs w:val="28"/>
        </w:rPr>
        <w:t>万元，占收入合计的</w:t>
      </w:r>
      <w:r>
        <w:rPr>
          <w:rFonts w:hint="eastAsia" w:ascii="仿宋_GB2312" w:eastAsia="仿宋_GB2312"/>
          <w:sz w:val="28"/>
          <w:szCs w:val="28"/>
          <w:lang w:eastAsia="zh-CN"/>
        </w:rPr>
        <w:t>0.01</w:t>
      </w:r>
      <w:r>
        <w:rPr>
          <w:rFonts w:hint="eastAsia" w:ascii="仿宋_GB2312" w:eastAsia="仿宋_GB2312"/>
          <w:sz w:val="28"/>
          <w:szCs w:val="28"/>
        </w:rPr>
        <w:t>%。</w:t>
      </w:r>
    </w:p>
    <w:p w14:paraId="68387E1F">
      <w:pPr>
        <w:pStyle w:val="2"/>
        <w:ind w:firstLine="0"/>
        <w:jc w:val="center"/>
      </w:pPr>
      <w:r>
        <w:rPr>
          <w:rFonts w:hint="eastAsia" w:ascii="仿宋_GB2312" w:eastAsia="仿宋_GB2312"/>
          <w:color w:val="000000"/>
          <w:sz w:val="32"/>
          <w:szCs w:val="32"/>
          <w:highlight w:val="none"/>
          <w:lang w:val="en-US" w:eastAsia="zh-CN"/>
        </w:rPr>
        <w:t>图1：收入决算</w:t>
      </w:r>
    </w:p>
    <w:p w14:paraId="18200F96">
      <w:pPr>
        <w:pStyle w:val="3"/>
        <w:ind w:firstLine="420"/>
        <w:jc w:val="center"/>
      </w:pPr>
      <w:r>
        <w:drawing>
          <wp:inline distT="0" distB="0" distL="0" distR="0">
            <wp:extent cx="4036695" cy="2328545"/>
            <wp:effectExtent l="0" t="0" r="20955" b="14605"/>
            <wp:docPr id="3" name="图表 3" title="{{pieChar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08E8FFCF">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14:paraId="594BE9F8">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年度本年支出合计</w:t>
      </w:r>
      <w:r>
        <w:rPr>
          <w:rFonts w:ascii="仿宋_GB2312" w:eastAsia="仿宋_GB2312"/>
          <w:sz w:val="28"/>
          <w:szCs w:val="28"/>
        </w:rPr>
        <w:t>65127.21</w:t>
      </w:r>
      <w:r>
        <w:rPr>
          <w:rFonts w:hint="eastAsia" w:ascii="仿宋_GB2312" w:eastAsia="仿宋_GB2312"/>
          <w:sz w:val="28"/>
          <w:szCs w:val="28"/>
        </w:rPr>
        <w:t>万元，</w:t>
      </w:r>
      <w:r>
        <w:rPr>
          <w:rFonts w:ascii="仿宋_GB2312" w:eastAsia="仿宋_GB2312"/>
          <w:sz w:val="28"/>
          <w:szCs w:val="28"/>
        </w:rPr>
        <w:t>比上年增加</w:t>
      </w:r>
      <w:r>
        <w:rPr>
          <w:rFonts w:hint="eastAsia" w:ascii="仿宋_GB2312" w:eastAsia="仿宋_GB2312"/>
          <w:sz w:val="28"/>
          <w:szCs w:val="28"/>
          <w:lang w:val="en-US" w:eastAsia="zh-CN"/>
        </w:rPr>
        <w:t>22026.98</w:t>
      </w:r>
      <w:r>
        <w:rPr>
          <w:rFonts w:hint="eastAsia" w:ascii="仿宋_GB2312" w:eastAsia="仿宋_GB2312"/>
          <w:sz w:val="28"/>
          <w:szCs w:val="28"/>
        </w:rPr>
        <w:t>万元，增长</w:t>
      </w:r>
      <w:r>
        <w:rPr>
          <w:rFonts w:hint="eastAsia" w:ascii="仿宋_GB2312" w:eastAsia="仿宋_GB2312"/>
          <w:sz w:val="28"/>
          <w:szCs w:val="28"/>
          <w:lang w:val="en-US" w:eastAsia="zh-CN"/>
        </w:rPr>
        <w:t>51.11</w:t>
      </w:r>
      <w:r>
        <w:rPr>
          <w:rFonts w:hint="eastAsia" w:ascii="仿宋_GB2312" w:eastAsia="仿宋_GB2312"/>
          <w:sz w:val="28"/>
          <w:szCs w:val="28"/>
        </w:rPr>
        <w:t>%，其中：基本支出</w:t>
      </w:r>
      <w:r>
        <w:rPr>
          <w:rFonts w:ascii="仿宋_GB2312" w:eastAsia="仿宋_GB2312"/>
          <w:sz w:val="28"/>
          <w:szCs w:val="28"/>
        </w:rPr>
        <w:t>5332.07</w:t>
      </w:r>
      <w:r>
        <w:rPr>
          <w:rFonts w:hint="eastAsia" w:ascii="仿宋_GB2312" w:eastAsia="仿宋_GB2312"/>
          <w:sz w:val="28"/>
          <w:szCs w:val="28"/>
        </w:rPr>
        <w:t>万元，占支出合计的</w:t>
      </w:r>
      <w:r>
        <w:rPr>
          <w:rFonts w:hint="eastAsia" w:ascii="仿宋_GB2312" w:eastAsia="仿宋_GB2312"/>
          <w:sz w:val="28"/>
          <w:szCs w:val="28"/>
          <w:lang w:eastAsia="zh-CN"/>
        </w:rPr>
        <w:t>8.19</w:t>
      </w:r>
      <w:r>
        <w:rPr>
          <w:rFonts w:hint="eastAsia" w:ascii="仿宋_GB2312" w:eastAsia="仿宋_GB2312"/>
          <w:sz w:val="28"/>
          <w:szCs w:val="28"/>
        </w:rPr>
        <w:t>%；项目支出</w:t>
      </w:r>
      <w:r>
        <w:rPr>
          <w:rFonts w:ascii="仿宋_GB2312" w:eastAsia="仿宋_GB2312"/>
          <w:sz w:val="28"/>
          <w:szCs w:val="28"/>
        </w:rPr>
        <w:t>59795.14</w:t>
      </w:r>
      <w:r>
        <w:rPr>
          <w:rFonts w:hint="eastAsia" w:ascii="仿宋_GB2312" w:eastAsia="仿宋_GB2312"/>
          <w:sz w:val="28"/>
          <w:szCs w:val="28"/>
        </w:rPr>
        <w:t>万元，占支出合计的</w:t>
      </w:r>
      <w:r>
        <w:rPr>
          <w:rFonts w:hint="eastAsia" w:ascii="仿宋_GB2312" w:eastAsia="仿宋_GB2312"/>
          <w:sz w:val="28"/>
          <w:szCs w:val="28"/>
          <w:lang w:eastAsia="zh-CN"/>
        </w:rPr>
        <w:t>91.81</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hint="eastAsia" w:ascii="仿宋_GB2312" w:eastAsia="仿宋_GB2312"/>
          <w:sz w:val="28"/>
          <w:szCs w:val="28"/>
          <w:lang w:eastAsia="zh-CN"/>
        </w:rPr>
        <w:t>0</w:t>
      </w:r>
      <w:r>
        <w:rPr>
          <w:rFonts w:hint="eastAsia" w:ascii="仿宋_GB2312" w:eastAsia="仿宋_GB2312"/>
          <w:sz w:val="28"/>
          <w:szCs w:val="28"/>
        </w:rPr>
        <w:t>%。</w:t>
      </w:r>
    </w:p>
    <w:p w14:paraId="5FCF6059">
      <w:pPr>
        <w:pStyle w:val="2"/>
        <w:ind w:firstLine="642"/>
        <w:jc w:val="center"/>
        <w:rPr>
          <w:rFonts w:ascii="仿宋_GB2312" w:eastAsia="仿宋_GB2312"/>
          <w:color w:val="000000"/>
          <w:sz w:val="32"/>
        </w:rPr>
      </w:pPr>
      <w:r>
        <w:rPr>
          <w:rFonts w:hint="eastAsia" w:ascii="仿宋_GB2312" w:eastAsia="仿宋_GB2312"/>
          <w:color w:val="000000"/>
          <w:sz w:val="32"/>
        </w:rPr>
        <w:t>图2：基本支出和项目支出情况</w:t>
      </w:r>
    </w:p>
    <w:p w14:paraId="2F6D3B20">
      <w:pPr>
        <w:jc w:val="center"/>
        <w:rPr>
          <w:rFonts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2C19857A">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14:paraId="1F73BFE7">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108762.65</w:t>
      </w:r>
      <w:r>
        <w:rPr>
          <w:rFonts w:hint="eastAsia" w:ascii="仿宋_GB2312" w:eastAsia="仿宋_GB2312"/>
          <w:sz w:val="28"/>
          <w:szCs w:val="28"/>
        </w:rPr>
        <w:t>万元，比上年</w:t>
      </w:r>
      <w:r>
        <w:rPr>
          <w:rFonts w:ascii="仿宋_GB2312" w:eastAsia="仿宋_GB2312"/>
          <w:sz w:val="28"/>
          <w:szCs w:val="28"/>
        </w:rPr>
        <w:t>增加</w:t>
      </w:r>
      <w:r>
        <w:rPr>
          <w:rFonts w:hint="eastAsia" w:ascii="仿宋_GB2312" w:eastAsia="仿宋_GB2312"/>
          <w:sz w:val="28"/>
          <w:szCs w:val="28"/>
          <w:lang w:val="en-US" w:eastAsia="zh-CN"/>
        </w:rPr>
        <w:t>63396.61</w:t>
      </w:r>
      <w:r>
        <w:rPr>
          <w:rFonts w:hint="eastAsia" w:ascii="仿宋_GB2312" w:eastAsia="仿宋_GB2312"/>
          <w:sz w:val="28"/>
          <w:szCs w:val="28"/>
        </w:rPr>
        <w:t>万元，增长</w:t>
      </w:r>
      <w:r>
        <w:rPr>
          <w:rFonts w:hint="eastAsia" w:ascii="仿宋_GB2312" w:eastAsia="仿宋_GB2312"/>
          <w:sz w:val="28"/>
          <w:szCs w:val="28"/>
          <w:lang w:val="en-US" w:eastAsia="zh-CN"/>
        </w:rPr>
        <w:t>139.74%</w:t>
      </w:r>
      <w:r>
        <w:rPr>
          <w:rFonts w:hint="eastAsia" w:ascii="仿宋_GB2312" w:eastAsia="仿宋_GB2312"/>
          <w:sz w:val="28"/>
          <w:szCs w:val="28"/>
        </w:rPr>
        <w:t>。主要原因：较上年增加中国杂技艺术中心及北京歌舞剧院两剧场建设项目。</w:t>
      </w:r>
    </w:p>
    <w:p w14:paraId="4C6296DF">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14:paraId="073A49D8">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14:paraId="021F3C02">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年度一般公共预算财政拨款支出</w:t>
      </w:r>
      <w:r>
        <w:rPr>
          <w:rFonts w:ascii="仿宋_GB2312" w:eastAsia="仿宋_GB2312"/>
          <w:sz w:val="28"/>
          <w:szCs w:val="28"/>
        </w:rPr>
        <w:t>64751.18</w:t>
      </w:r>
      <w:r>
        <w:rPr>
          <w:rFonts w:hint="eastAsia" w:ascii="仿宋_GB2312" w:eastAsia="仿宋_GB2312"/>
          <w:sz w:val="28"/>
          <w:szCs w:val="28"/>
        </w:rPr>
        <w:t>万元，主要用于以下方面（按大类）：教育支出2.79万元，占本年财政拨款支出0.0</w:t>
      </w:r>
      <w:r>
        <w:rPr>
          <w:rFonts w:hint="eastAsia" w:ascii="仿宋_GB2312" w:eastAsia="仿宋_GB2312"/>
          <w:sz w:val="28"/>
          <w:szCs w:val="28"/>
          <w:lang w:val="en-US" w:eastAsia="zh-CN"/>
        </w:rPr>
        <w:t>0</w:t>
      </w:r>
      <w:r>
        <w:rPr>
          <w:rFonts w:hint="eastAsia" w:ascii="仿宋_GB2312" w:eastAsia="仿宋_GB2312"/>
          <w:sz w:val="28"/>
          <w:szCs w:val="28"/>
        </w:rPr>
        <w:t>%；文化旅游体育与传媒支出</w:t>
      </w:r>
      <w:r>
        <w:rPr>
          <w:rFonts w:hint="eastAsia" w:ascii="仿宋_GB2312" w:eastAsia="仿宋_GB2312"/>
          <w:sz w:val="28"/>
          <w:szCs w:val="28"/>
          <w:lang w:val="en-US" w:eastAsia="zh-CN"/>
        </w:rPr>
        <w:t>64748.39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100.00</w:t>
      </w:r>
      <w:r>
        <w:rPr>
          <w:rFonts w:hint="eastAsia" w:ascii="仿宋_GB2312" w:eastAsia="仿宋_GB2312"/>
          <w:sz w:val="28"/>
          <w:szCs w:val="28"/>
        </w:rPr>
        <w:t>%。</w:t>
      </w:r>
    </w:p>
    <w:p w14:paraId="2CA02262">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14:paraId="71E3E4D9">
      <w:pPr>
        <w:autoSpaceDE w:val="0"/>
        <w:autoSpaceDN w:val="0"/>
        <w:adjustRightInd w:val="0"/>
        <w:spacing w:line="580" w:lineRule="exact"/>
        <w:ind w:firstLine="560" w:firstLineChars="200"/>
        <w:jc w:val="left"/>
        <w:rPr>
          <w:rFonts w:ascii="仿宋_GB2312" w:eastAsia="仿宋_GB2312"/>
          <w:sz w:val="28"/>
          <w:szCs w:val="28"/>
        </w:rPr>
      </w:pPr>
      <w:r>
        <w:rPr>
          <w:rFonts w:hint="eastAsia" w:ascii="仿宋_GB2312" w:eastAsia="仿宋_GB2312"/>
          <w:sz w:val="28"/>
          <w:szCs w:val="28"/>
        </w:rPr>
        <w:t>1、“教育支出”（类）2024年度年初预算3.84万元，2024年度决算2.79万元，完成年初预算的72.66%。</w:t>
      </w:r>
    </w:p>
    <w:p w14:paraId="795B7192">
      <w:pPr>
        <w:autoSpaceDE w:val="0"/>
        <w:autoSpaceDN w:val="0"/>
        <w:adjustRightInd w:val="0"/>
        <w:spacing w:line="580" w:lineRule="exact"/>
        <w:jc w:val="left"/>
        <w:rPr>
          <w:rFonts w:ascii="仿宋_GB2312" w:eastAsia="仿宋_GB2312"/>
          <w:sz w:val="28"/>
          <w:szCs w:val="28"/>
        </w:rPr>
      </w:pPr>
      <w:r>
        <w:rPr>
          <w:rFonts w:hint="eastAsia" w:ascii="仿宋_GB2312" w:eastAsia="仿宋_GB2312"/>
          <w:sz w:val="28"/>
          <w:szCs w:val="28"/>
        </w:rPr>
        <w:t>其中：</w:t>
      </w:r>
    </w:p>
    <w:p w14:paraId="44CA4BBF">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“进修及培训”（款）2024年度年初预算3.84万元，2024年度决算2.79万元，完成年初预算的72.66%。主要原因：落实政府过紧日子、厉行勤俭节约要求，合理安排培训方式，压减培训费支出资金。</w:t>
      </w:r>
    </w:p>
    <w:p w14:paraId="2F0075F0">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2、“文化旅游体育与传媒支出”(类)202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35821.33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64748.39</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180.75</w:t>
      </w:r>
      <w:r>
        <w:rPr>
          <w:rFonts w:hint="eastAsia" w:ascii="仿宋_GB2312" w:eastAsia="仿宋_GB2312"/>
          <w:sz w:val="28"/>
          <w:szCs w:val="28"/>
        </w:rPr>
        <w:t>%。其中：</w:t>
      </w:r>
    </w:p>
    <w:p w14:paraId="566FCE0A">
      <w:pPr>
        <w:spacing w:line="580" w:lineRule="exact"/>
        <w:ind w:firstLine="560" w:firstLineChars="200"/>
        <w:rPr>
          <w:rFonts w:hint="eastAsia"/>
          <w:lang w:val="en-US" w:eastAsia="zh-CN"/>
        </w:rPr>
      </w:pPr>
      <w:r>
        <w:rPr>
          <w:rFonts w:hint="eastAsia" w:ascii="仿宋_GB2312" w:eastAsia="仿宋_GB2312"/>
          <w:sz w:val="28"/>
          <w:szCs w:val="28"/>
        </w:rPr>
        <w:t>“文化</w:t>
      </w:r>
      <w:r>
        <w:rPr>
          <w:rFonts w:hint="eastAsia" w:ascii="仿宋_GB2312" w:eastAsia="仿宋_GB2312"/>
          <w:sz w:val="28"/>
          <w:szCs w:val="28"/>
          <w:lang w:val="en-US" w:eastAsia="zh-CN"/>
        </w:rPr>
        <w:t>和旅游</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7826.33</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sz w:val="28"/>
          <w:szCs w:val="28"/>
          <w:lang w:val="en-US" w:eastAsia="zh-CN"/>
        </w:rPr>
        <w:t>29936.96</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382.52</w:t>
      </w:r>
      <w:r>
        <w:rPr>
          <w:rFonts w:hint="eastAsia" w:ascii="仿宋_GB2312" w:eastAsia="仿宋_GB2312"/>
          <w:sz w:val="28"/>
          <w:szCs w:val="28"/>
        </w:rPr>
        <w:t>%。主要原因：增加中国杂技艺术中心及北京歌舞剧院两剧场建设项目支出</w:t>
      </w:r>
      <w:r>
        <w:rPr>
          <w:rFonts w:hint="eastAsia" w:ascii="仿宋_GB2312" w:eastAsia="仿宋_GB2312"/>
          <w:sz w:val="28"/>
          <w:szCs w:val="28"/>
          <w:lang w:eastAsia="zh-CN"/>
        </w:rPr>
        <w:t>。</w:t>
      </w:r>
      <w:r>
        <w:rPr>
          <w:rFonts w:hint="eastAsia"/>
          <w:lang w:val="en-US" w:eastAsia="zh-CN"/>
        </w:rPr>
        <w:t xml:space="preserve"> </w:t>
      </w:r>
    </w:p>
    <w:p w14:paraId="46081DFF">
      <w:pPr>
        <w:spacing w:line="580" w:lineRule="exact"/>
        <w:ind w:firstLine="560" w:firstLineChars="200"/>
        <w:rPr>
          <w:rFonts w:ascii="仿宋_GB2312" w:eastAsia="仿宋_GB2312"/>
          <w:sz w:val="28"/>
          <w:szCs w:val="28"/>
        </w:rPr>
      </w:pPr>
      <w:r>
        <w:rPr>
          <w:rFonts w:hint="eastAsia" w:ascii="仿宋_GB2312" w:eastAsia="仿宋_GB2312"/>
          <w:sz w:val="28"/>
          <w:szCs w:val="28"/>
        </w:rPr>
        <w:t>“</w:t>
      </w:r>
      <w:r>
        <w:rPr>
          <w:rFonts w:hint="eastAsia" w:ascii="仿宋_GB2312" w:eastAsia="仿宋_GB2312"/>
          <w:b w:val="0"/>
          <w:bCs w:val="0"/>
          <w:sz w:val="28"/>
          <w:szCs w:val="28"/>
          <w:lang w:val="en-US" w:eastAsia="zh-CN"/>
        </w:rPr>
        <w:t>其他文化旅游体育与传媒支出</w:t>
      </w:r>
      <w:r>
        <w:rPr>
          <w:rFonts w:hint="eastAsia" w:ascii="仿宋_GB2312" w:eastAsia="仿宋_GB2312"/>
          <w:sz w:val="28"/>
          <w:szCs w:val="28"/>
        </w:rPr>
        <w:t>”（款）202</w:t>
      </w:r>
      <w:r>
        <w:rPr>
          <w:rFonts w:hint="eastAsia" w:ascii="仿宋_GB2312" w:eastAsia="仿宋_GB2312"/>
          <w:sz w:val="28"/>
          <w:szCs w:val="28"/>
          <w:lang w:val="en-US" w:eastAsia="zh-CN"/>
        </w:rPr>
        <w:t>4</w:t>
      </w:r>
      <w:r>
        <w:rPr>
          <w:rFonts w:hint="eastAsia" w:ascii="仿宋_GB2312" w:eastAsia="仿宋_GB2312"/>
          <w:sz w:val="28"/>
          <w:szCs w:val="28"/>
        </w:rPr>
        <w:t>年度年初预算</w:t>
      </w:r>
      <w:r>
        <w:rPr>
          <w:rFonts w:hint="eastAsia" w:ascii="仿宋_GB2312" w:eastAsia="仿宋_GB2312"/>
          <w:sz w:val="28"/>
          <w:szCs w:val="28"/>
          <w:lang w:val="en-US" w:eastAsia="zh-CN"/>
        </w:rPr>
        <w:t>27995.00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年度决算</w:t>
      </w:r>
      <w:r>
        <w:rPr>
          <w:rFonts w:hint="eastAsia" w:ascii="仿宋_GB2312" w:eastAsia="仿宋_GB2312"/>
          <w:b w:val="0"/>
          <w:bCs w:val="0"/>
          <w:sz w:val="28"/>
          <w:szCs w:val="28"/>
          <w:lang w:val="en-US" w:eastAsia="zh-CN"/>
        </w:rPr>
        <w:t>34811.43</w:t>
      </w:r>
      <w:r>
        <w:rPr>
          <w:rFonts w:hint="eastAsia" w:ascii="仿宋_GB2312" w:eastAsia="仿宋_GB2312"/>
          <w:sz w:val="28"/>
          <w:szCs w:val="28"/>
        </w:rPr>
        <w:t>万元，</w:t>
      </w:r>
      <w:r>
        <w:rPr>
          <w:rFonts w:hint="eastAsia" w:ascii="仿宋_GB2312" w:eastAsia="仿宋_GB2312"/>
          <w:sz w:val="28"/>
          <w:szCs w:val="28"/>
          <w:lang w:eastAsia="zh-CN"/>
        </w:rPr>
        <w:t>完成年初预算的</w:t>
      </w:r>
      <w:r>
        <w:rPr>
          <w:rFonts w:hint="eastAsia" w:ascii="仿宋_GB2312" w:eastAsia="仿宋_GB2312"/>
          <w:sz w:val="28"/>
          <w:szCs w:val="28"/>
          <w:lang w:val="en-US" w:eastAsia="zh-CN"/>
        </w:rPr>
        <w:t>124.35</w:t>
      </w:r>
      <w:r>
        <w:rPr>
          <w:rFonts w:hint="eastAsia" w:ascii="仿宋_GB2312" w:eastAsia="仿宋_GB2312"/>
          <w:sz w:val="28"/>
          <w:szCs w:val="28"/>
        </w:rPr>
        <w:t>%。主要原因：</w:t>
      </w:r>
      <w:r>
        <w:rPr>
          <w:rFonts w:hint="eastAsia" w:ascii="仿宋_GB2312" w:eastAsia="仿宋_GB2312"/>
          <w:b w:val="0"/>
          <w:bCs w:val="0"/>
          <w:sz w:val="28"/>
          <w:szCs w:val="28"/>
        </w:rPr>
        <w:t>年初预算为预拨资金，按照全年预算的一定比例下达</w:t>
      </w:r>
      <w:r>
        <w:rPr>
          <w:rFonts w:hint="eastAsia" w:ascii="仿宋_GB2312" w:eastAsia="仿宋_GB2312"/>
          <w:b w:val="0"/>
          <w:bCs w:val="0"/>
          <w:sz w:val="28"/>
          <w:szCs w:val="28"/>
          <w:lang w:eastAsia="zh-CN"/>
        </w:rPr>
        <w:t>。</w:t>
      </w:r>
    </w:p>
    <w:p w14:paraId="3E4D8AD1">
      <w:pPr>
        <w:pStyle w:val="2"/>
        <w:rPr>
          <w:rFonts w:hint="default"/>
          <w:lang w:val="en-US" w:eastAsia="zh-CN"/>
        </w:rPr>
      </w:pPr>
    </w:p>
    <w:p w14:paraId="04522ADB">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14:paraId="1E6B3056">
      <w:pPr>
        <w:spacing w:line="580" w:lineRule="exact"/>
        <w:ind w:firstLine="560" w:firstLineChars="200"/>
        <w:rPr>
          <w:rFonts w:ascii="仿宋_GB2312" w:eastAsia="仿宋_GB2312"/>
          <w:sz w:val="28"/>
          <w:szCs w:val="28"/>
        </w:rPr>
      </w:pPr>
      <w:r>
        <w:rPr>
          <w:rFonts w:hint="eastAsia" w:ascii="仿宋_GB2312" w:eastAsia="仿宋_GB2312"/>
          <w:sz w:val="28"/>
          <w:szCs w:val="28"/>
        </w:rPr>
        <w:t>本</w:t>
      </w:r>
      <w:r>
        <w:rPr>
          <w:rFonts w:hint="eastAsia" w:ascii="仿宋_GB2312" w:eastAsia="仿宋_GB2312"/>
          <w:sz w:val="28"/>
          <w:szCs w:val="28"/>
          <w:lang w:val="en-US" w:eastAsia="zh-CN"/>
        </w:rPr>
        <w:t>部门</w:t>
      </w:r>
      <w:r>
        <w:rPr>
          <w:rFonts w:hint="eastAsia" w:ascii="仿宋_GB2312" w:eastAsia="仿宋_GB2312"/>
          <w:sz w:val="28"/>
          <w:szCs w:val="28"/>
        </w:rPr>
        <w:t>无此项支出。</w:t>
      </w:r>
    </w:p>
    <w:p w14:paraId="6A6621E5">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14:paraId="1875B3BD">
      <w:pPr>
        <w:ind w:firstLine="537" w:firstLineChars="192"/>
        <w:rPr>
          <w:rFonts w:ascii="仿宋_GB2312" w:eastAsia="仿宋_GB2312"/>
          <w:sz w:val="28"/>
          <w:szCs w:val="28"/>
        </w:rPr>
      </w:pPr>
      <w:r>
        <w:rPr>
          <w:rFonts w:hint="eastAsia" w:ascii="仿宋_GB2312" w:eastAsia="仿宋_GB2312"/>
          <w:sz w:val="28"/>
          <w:szCs w:val="28"/>
        </w:rPr>
        <w:t>本</w:t>
      </w:r>
      <w:r>
        <w:rPr>
          <w:rFonts w:hint="eastAsia" w:ascii="仿宋_GB2312" w:eastAsia="仿宋_GB2312"/>
          <w:sz w:val="28"/>
          <w:szCs w:val="28"/>
          <w:lang w:val="en-US" w:eastAsia="zh-CN"/>
        </w:rPr>
        <w:t>部门</w:t>
      </w:r>
      <w:r>
        <w:rPr>
          <w:rFonts w:hint="eastAsia" w:ascii="仿宋_GB2312" w:eastAsia="仿宋_GB2312"/>
          <w:sz w:val="28"/>
          <w:szCs w:val="28"/>
        </w:rPr>
        <w:t>无此项经费。</w:t>
      </w:r>
    </w:p>
    <w:p w14:paraId="382B5977">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14:paraId="4561D40F">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年度使用一般公共预算财政拨款安排基本支出</w:t>
      </w:r>
      <w:r>
        <w:rPr>
          <w:rFonts w:ascii="仿宋_GB2312" w:eastAsia="仿宋_GB2312"/>
          <w:sz w:val="28"/>
          <w:szCs w:val="28"/>
        </w:rPr>
        <w:t>5132.61</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14:paraId="33D65CC1">
      <w:pPr>
        <w:autoSpaceDE w:val="0"/>
        <w:autoSpaceDN w:val="0"/>
        <w:adjustRightInd w:val="0"/>
        <w:spacing w:line="580" w:lineRule="exact"/>
        <w:jc w:val="both"/>
        <w:rPr>
          <w:rFonts w:hint="eastAsia" w:ascii="宋体" w:hAnsi="宋体"/>
          <w:b/>
          <w:spacing w:val="40"/>
          <w:sz w:val="32"/>
          <w:szCs w:val="32"/>
        </w:rPr>
      </w:pPr>
      <w:r>
        <w:rPr>
          <w:rFonts w:ascii="仿宋_GB2312" w:eastAsia="仿宋_GB2312"/>
          <w:b/>
          <w:sz w:val="32"/>
          <w:szCs w:val="32"/>
        </w:rPr>
        <w:tab/>
      </w:r>
    </w:p>
    <w:p w14:paraId="456F5894">
      <w:pPr>
        <w:tabs>
          <w:tab w:val="center" w:pos="6979"/>
        </w:tabs>
        <w:jc w:val="center"/>
        <w:rPr>
          <w:rFonts w:hint="eastAsia" w:ascii="宋体" w:hAnsi="宋体" w:cs="宋体"/>
          <w:b/>
          <w:bCs/>
          <w:spacing w:val="40"/>
          <w:kern w:val="0"/>
          <w:sz w:val="32"/>
          <w:szCs w:val="32"/>
        </w:rPr>
      </w:pPr>
    </w:p>
    <w:p w14:paraId="14CDE645">
      <w:pPr>
        <w:tabs>
          <w:tab w:val="center" w:pos="6979"/>
        </w:tabs>
        <w:jc w:val="center"/>
        <w:rPr>
          <w:rFonts w:hint="eastAsia" w:ascii="宋体" w:hAnsi="宋体" w:cs="宋体"/>
          <w:b/>
          <w:spacing w:val="40"/>
          <w:kern w:val="0"/>
          <w:sz w:val="32"/>
          <w:szCs w:val="32"/>
        </w:rPr>
      </w:pP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4</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14:paraId="6CBB24C9">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14:paraId="5DC90331">
      <w:pPr>
        <w:spacing w:line="560" w:lineRule="exact"/>
        <w:ind w:firstLine="600"/>
        <w:rPr>
          <w:rFonts w:ascii="仿宋_GB2312" w:eastAsia="仿宋_GB2312"/>
          <w:sz w:val="28"/>
          <w:szCs w:val="28"/>
        </w:rPr>
      </w:pPr>
      <w:r>
        <w:rPr>
          <w:rFonts w:hint="eastAsia" w:ascii="仿宋_GB2312" w:eastAsia="仿宋_GB2312"/>
          <w:sz w:val="28"/>
          <w:szCs w:val="28"/>
          <w:lang w:eastAsia="zh-CN"/>
        </w:rPr>
        <w:t>2024</w:t>
      </w:r>
      <w:r>
        <w:rPr>
          <w:rFonts w:hint="eastAsia" w:ascii="仿宋_GB2312" w:eastAsia="仿宋_GB2312"/>
          <w:sz w:val="28"/>
          <w:szCs w:val="28"/>
        </w:rPr>
        <w:t>年度“三公”经费财政拨款决算数</w:t>
      </w:r>
      <w:r>
        <w:rPr>
          <w:rFonts w:ascii="仿宋_GB2312" w:eastAsia="仿宋_GB2312"/>
          <w:sz w:val="28"/>
          <w:szCs w:val="28"/>
        </w:rPr>
        <w:t>0.45</w:t>
      </w:r>
      <w:r>
        <w:rPr>
          <w:rFonts w:hint="eastAsia" w:ascii="仿宋_GB2312" w:eastAsia="仿宋_GB2312"/>
          <w:sz w:val="28"/>
          <w:szCs w:val="28"/>
        </w:rPr>
        <w:t>万元，比</w:t>
      </w:r>
      <w:r>
        <w:rPr>
          <w:rFonts w:hint="eastAsia" w:ascii="仿宋_GB2312" w:eastAsia="仿宋_GB2312"/>
          <w:sz w:val="28"/>
          <w:szCs w:val="28"/>
          <w:lang w:eastAsia="zh-CN"/>
        </w:rPr>
        <w:t>2024</w:t>
      </w:r>
      <w:r>
        <w:rPr>
          <w:rFonts w:hint="eastAsia" w:ascii="仿宋_GB2312" w:eastAsia="仿宋_GB2312"/>
          <w:sz w:val="28"/>
          <w:szCs w:val="28"/>
        </w:rPr>
        <w:t>年度“三公”经费财政拨款年初预算</w:t>
      </w:r>
      <w:r>
        <w:rPr>
          <w:rFonts w:ascii="仿宋_GB2312" w:eastAsia="仿宋_GB2312"/>
          <w:sz w:val="28"/>
          <w:szCs w:val="28"/>
        </w:rPr>
        <w:t>4</w:t>
      </w:r>
      <w:r>
        <w:rPr>
          <w:rFonts w:hint="eastAsia" w:ascii="仿宋_GB2312" w:eastAsia="仿宋_GB2312"/>
          <w:sz w:val="28"/>
          <w:szCs w:val="28"/>
        </w:rPr>
        <w:t>万元减少</w:t>
      </w:r>
      <w:r>
        <w:rPr>
          <w:rFonts w:ascii="仿宋_GB2312" w:eastAsia="仿宋_GB2312"/>
          <w:sz w:val="28"/>
          <w:szCs w:val="28"/>
        </w:rPr>
        <w:t>3.55</w:t>
      </w:r>
      <w:r>
        <w:rPr>
          <w:rFonts w:hint="eastAsia" w:ascii="仿宋_GB2312" w:eastAsia="仿宋_GB2312"/>
          <w:sz w:val="28"/>
          <w:szCs w:val="28"/>
        </w:rPr>
        <w:t>万元。其中：</w:t>
      </w:r>
    </w:p>
    <w:p w14:paraId="1D72E61D">
      <w:pPr>
        <w:spacing w:line="560" w:lineRule="exact"/>
        <w:ind w:firstLine="600"/>
        <w:rPr>
          <w:rFonts w:hint="eastAsia" w:ascii="仿宋_GB2312" w:eastAsia="仿宋_GB2312"/>
          <w:sz w:val="28"/>
          <w:szCs w:val="28"/>
        </w:rPr>
      </w:pPr>
      <w:r>
        <w:rPr>
          <w:rFonts w:hint="eastAsia" w:ascii="仿宋_GB2312" w:eastAsia="仿宋_GB2312"/>
          <w:sz w:val="28"/>
          <w:szCs w:val="28"/>
        </w:rPr>
        <w:t>1.因公出国（境）费用。202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hint="eastAsia" w:ascii="仿宋_GB2312" w:eastAsia="仿宋_GB2312"/>
          <w:sz w:val="28"/>
          <w:szCs w:val="28"/>
          <w:lang w:val="en-US" w:eastAsia="zh-CN"/>
        </w:rPr>
        <w:t>持平</w:t>
      </w:r>
      <w:r>
        <w:rPr>
          <w:rFonts w:hint="eastAsia" w:ascii="仿宋_GB2312" w:eastAsia="仿宋_GB2312"/>
          <w:sz w:val="28"/>
          <w:szCs w:val="28"/>
        </w:rPr>
        <w:t>。</w:t>
      </w:r>
    </w:p>
    <w:p w14:paraId="5E0A02A0">
      <w:pPr>
        <w:spacing w:line="560" w:lineRule="exact"/>
        <w:ind w:firstLine="600"/>
        <w:rPr>
          <w:rFonts w:hint="eastAsia" w:ascii="仿宋_GB2312" w:eastAsia="仿宋_GB2312"/>
          <w:sz w:val="28"/>
          <w:szCs w:val="28"/>
        </w:rPr>
      </w:pPr>
      <w:r>
        <w:rPr>
          <w:rFonts w:hint="eastAsia" w:ascii="仿宋_GB2312" w:eastAsia="仿宋_GB2312"/>
          <w:sz w:val="28"/>
          <w:szCs w:val="28"/>
        </w:rPr>
        <w:t>2.公务接待费。202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w:t>
      </w:r>
      <w:r>
        <w:rPr>
          <w:rFonts w:hint="eastAsia" w:ascii="仿宋_GB2312" w:eastAsia="仿宋_GB2312"/>
          <w:sz w:val="28"/>
          <w:szCs w:val="28"/>
        </w:rPr>
        <w:t>万元，与2024年度年初预算数</w:t>
      </w:r>
      <w:r>
        <w:rPr>
          <w:rFonts w:ascii="仿宋_GB2312" w:eastAsia="仿宋_GB2312"/>
          <w:sz w:val="28"/>
          <w:szCs w:val="28"/>
        </w:rPr>
        <w:t>0</w:t>
      </w:r>
      <w:r>
        <w:rPr>
          <w:rFonts w:hint="eastAsia" w:ascii="仿宋_GB2312" w:eastAsia="仿宋_GB2312"/>
          <w:sz w:val="28"/>
          <w:szCs w:val="28"/>
        </w:rPr>
        <w:t>万元持平。</w:t>
      </w:r>
    </w:p>
    <w:p w14:paraId="7AACC21E">
      <w:pPr>
        <w:spacing w:line="560" w:lineRule="exact"/>
        <w:ind w:firstLine="560" w:firstLineChars="200"/>
        <w:rPr>
          <w:rFonts w:hint="eastAsia" w:ascii="仿宋_GB2312" w:eastAsia="仿宋_GB2312"/>
          <w:sz w:val="28"/>
          <w:szCs w:val="28"/>
        </w:rPr>
      </w:pPr>
      <w:r>
        <w:rPr>
          <w:rFonts w:hint="eastAsia" w:ascii="仿宋_GB2312" w:eastAsia="仿宋_GB2312"/>
          <w:sz w:val="28"/>
          <w:szCs w:val="28"/>
        </w:rPr>
        <w:t>3.公务用车购置及运行维护费。202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ascii="仿宋_GB2312" w:eastAsia="仿宋_GB2312"/>
          <w:sz w:val="28"/>
          <w:szCs w:val="28"/>
        </w:rPr>
        <w:t>0.45</w:t>
      </w:r>
      <w:r>
        <w:rPr>
          <w:rFonts w:hint="eastAsia" w:ascii="仿宋_GB2312" w:eastAsia="仿宋_GB2312"/>
          <w:sz w:val="28"/>
          <w:szCs w:val="28"/>
        </w:rPr>
        <w:t>万元，比202</w:t>
      </w:r>
      <w:r>
        <w:rPr>
          <w:rFonts w:hint="eastAsia" w:ascii="仿宋_GB2312" w:eastAsia="仿宋_GB2312"/>
          <w:sz w:val="28"/>
          <w:szCs w:val="28"/>
          <w:lang w:val="en-US" w:eastAsia="zh-CN"/>
        </w:rPr>
        <w:t>4</w:t>
      </w:r>
      <w:r>
        <w:rPr>
          <w:rFonts w:hint="eastAsia" w:ascii="仿宋_GB2312" w:eastAsia="仿宋_GB2312"/>
          <w:sz w:val="28"/>
          <w:szCs w:val="28"/>
        </w:rPr>
        <w:t>年度年初预算数</w:t>
      </w:r>
      <w:r>
        <w:rPr>
          <w:rFonts w:ascii="仿宋_GB2312" w:eastAsia="仿宋_GB2312"/>
          <w:sz w:val="28"/>
          <w:szCs w:val="28"/>
        </w:rPr>
        <w:t>4</w:t>
      </w:r>
      <w:r>
        <w:rPr>
          <w:rFonts w:hint="eastAsia" w:ascii="仿宋_GB2312" w:eastAsia="仿宋_GB2312"/>
          <w:sz w:val="28"/>
          <w:szCs w:val="28"/>
        </w:rPr>
        <w:t>万元减少</w:t>
      </w:r>
      <w:r>
        <w:rPr>
          <w:rFonts w:ascii="仿宋_GB2312" w:eastAsia="仿宋_GB2312"/>
          <w:sz w:val="28"/>
          <w:szCs w:val="28"/>
        </w:rPr>
        <w:t>3.55</w:t>
      </w:r>
      <w:r>
        <w:rPr>
          <w:rFonts w:hint="eastAsia" w:ascii="仿宋_GB2312" w:eastAsia="仿宋_GB2312"/>
          <w:sz w:val="28"/>
          <w:szCs w:val="28"/>
        </w:rPr>
        <w:t>万元。其中，公务用车购置费202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w:t>
      </w:r>
      <w:r>
        <w:rPr>
          <w:rFonts w:hint="eastAsia" w:ascii="仿宋_GB2312" w:eastAsia="仿宋_GB2312"/>
          <w:sz w:val="28"/>
          <w:szCs w:val="28"/>
        </w:rPr>
        <w:t>万元，202</w:t>
      </w:r>
      <w:r>
        <w:rPr>
          <w:rFonts w:hint="eastAsia" w:ascii="仿宋_GB2312" w:eastAsia="仿宋_GB2312"/>
          <w:sz w:val="28"/>
          <w:szCs w:val="28"/>
          <w:lang w:val="en-US" w:eastAsia="zh-CN"/>
        </w:rPr>
        <w:t>4</w:t>
      </w:r>
      <w:r>
        <w:rPr>
          <w:rFonts w:hint="eastAsia" w:ascii="仿宋_GB2312" w:eastAsia="仿宋_GB2312"/>
          <w:sz w:val="28"/>
          <w:szCs w:val="28"/>
        </w:rPr>
        <w:t>年度购置（更新）</w:t>
      </w:r>
      <w:r>
        <w:rPr>
          <w:rFonts w:hint="eastAsia" w:ascii="仿宋_GB2312" w:eastAsia="仿宋_GB2312"/>
          <w:sz w:val="28"/>
          <w:szCs w:val="28"/>
          <w:lang w:eastAsia="zh-CN"/>
        </w:rPr>
        <w:t>0</w:t>
      </w:r>
      <w:r>
        <w:rPr>
          <w:rFonts w:hint="eastAsia" w:ascii="仿宋_GB2312" w:eastAsia="仿宋_GB2312"/>
          <w:sz w:val="28"/>
          <w:szCs w:val="28"/>
        </w:rPr>
        <w:t>辆。公务用车运行维护费202</w:t>
      </w:r>
      <w:r>
        <w:rPr>
          <w:rFonts w:hint="eastAsia" w:ascii="仿宋_GB2312" w:eastAsia="仿宋_GB2312"/>
          <w:sz w:val="28"/>
          <w:szCs w:val="28"/>
          <w:lang w:val="en-US" w:eastAsia="zh-CN"/>
        </w:rPr>
        <w:t>4</w:t>
      </w:r>
      <w:r>
        <w:rPr>
          <w:rFonts w:hint="eastAsia" w:ascii="仿宋_GB2312" w:eastAsia="仿宋_GB2312"/>
          <w:sz w:val="28"/>
          <w:szCs w:val="28"/>
        </w:rPr>
        <w:t>年度决算数</w:t>
      </w:r>
      <w:r>
        <w:rPr>
          <w:rFonts w:hint="eastAsia" w:ascii="仿宋_GB2312" w:eastAsia="仿宋_GB2312"/>
          <w:sz w:val="28"/>
          <w:szCs w:val="28"/>
          <w:lang w:val="en-US" w:eastAsia="zh-CN"/>
        </w:rPr>
        <w:t>0.45</w:t>
      </w:r>
      <w:r>
        <w:rPr>
          <w:rFonts w:hint="eastAsia" w:ascii="仿宋_GB2312" w:eastAsia="仿宋_GB2312"/>
          <w:sz w:val="28"/>
          <w:szCs w:val="28"/>
        </w:rPr>
        <w:t>万元，主要原因：落实政府过紧日子、厉行勤俭节约要求，严控公务用车运行维护费支出规模。202</w:t>
      </w:r>
      <w:r>
        <w:rPr>
          <w:rFonts w:hint="eastAsia" w:ascii="仿宋_GB2312" w:eastAsia="仿宋_GB2312"/>
          <w:sz w:val="28"/>
          <w:szCs w:val="28"/>
          <w:lang w:val="en-US" w:eastAsia="zh-CN"/>
        </w:rPr>
        <w:t>4</w:t>
      </w:r>
      <w:r>
        <w:rPr>
          <w:rFonts w:hint="eastAsia" w:ascii="仿宋_GB2312" w:eastAsia="仿宋_GB2312"/>
          <w:sz w:val="28"/>
          <w:szCs w:val="28"/>
        </w:rPr>
        <w:t>年度公务用车保有量</w:t>
      </w:r>
      <w:r>
        <w:rPr>
          <w:rFonts w:ascii="仿宋_GB2312" w:eastAsia="仿宋_GB2312"/>
          <w:sz w:val="28"/>
          <w:szCs w:val="28"/>
        </w:rPr>
        <w:t>15</w:t>
      </w:r>
      <w:r>
        <w:rPr>
          <w:rFonts w:hint="eastAsia" w:ascii="仿宋_GB2312" w:eastAsia="仿宋_GB2312"/>
          <w:sz w:val="28"/>
          <w:szCs w:val="28"/>
        </w:rPr>
        <w:t>辆。</w:t>
      </w:r>
    </w:p>
    <w:p w14:paraId="4DA3FFB5">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14:paraId="2057E244">
      <w:pPr>
        <w:ind w:firstLine="537" w:firstLineChars="192"/>
        <w:rPr>
          <w:rFonts w:ascii="仿宋_GB2312" w:eastAsia="仿宋_GB2312"/>
          <w:sz w:val="28"/>
          <w:szCs w:val="28"/>
        </w:rPr>
      </w:pPr>
      <w:r>
        <w:rPr>
          <w:rFonts w:hint="eastAsia" w:ascii="仿宋_GB2312" w:eastAsia="仿宋_GB2312"/>
          <w:sz w:val="28"/>
          <w:szCs w:val="28"/>
        </w:rPr>
        <w:t>我</w:t>
      </w:r>
      <w:r>
        <w:rPr>
          <w:rFonts w:hint="eastAsia" w:ascii="仿宋_GB2312" w:eastAsia="仿宋_GB2312"/>
          <w:sz w:val="28"/>
          <w:szCs w:val="28"/>
          <w:lang w:val="en-US" w:eastAsia="zh-CN"/>
        </w:rPr>
        <w:t>部门</w:t>
      </w:r>
      <w:r>
        <w:rPr>
          <w:rFonts w:hint="eastAsia" w:ascii="仿宋_GB2312" w:eastAsia="仿宋_GB2312"/>
          <w:sz w:val="28"/>
          <w:szCs w:val="28"/>
        </w:rPr>
        <w:t>不在机关运行经费统计范围之内。</w:t>
      </w:r>
    </w:p>
    <w:p w14:paraId="29B00531">
      <w:pPr>
        <w:ind w:left="540"/>
        <w:rPr>
          <w:rFonts w:hint="eastAsia" w:ascii="黑体" w:eastAsia="黑体"/>
          <w:sz w:val="28"/>
          <w:szCs w:val="28"/>
        </w:rPr>
      </w:pPr>
      <w:r>
        <w:rPr>
          <w:rFonts w:hint="eastAsia" w:ascii="黑体" w:eastAsia="黑体"/>
          <w:sz w:val="28"/>
          <w:szCs w:val="28"/>
        </w:rPr>
        <w:t>三、政府采购支出情况</w:t>
      </w:r>
    </w:p>
    <w:p w14:paraId="77C2039A">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4</w:t>
      </w:r>
      <w:r>
        <w:rPr>
          <w:rFonts w:hint="eastAsia" w:ascii="仿宋_GB2312" w:eastAsia="仿宋_GB2312"/>
          <w:sz w:val="28"/>
          <w:szCs w:val="28"/>
        </w:rPr>
        <w:t>年度政府采购支出总额</w:t>
      </w:r>
      <w:r>
        <w:rPr>
          <w:rFonts w:ascii="仿宋_GB2312" w:eastAsia="仿宋_GB2312"/>
          <w:sz w:val="28"/>
          <w:szCs w:val="28"/>
        </w:rPr>
        <w:t>321.18</w:t>
      </w:r>
      <w:r>
        <w:rPr>
          <w:rFonts w:hint="eastAsia" w:ascii="仿宋_GB2312" w:eastAsia="仿宋_GB2312"/>
          <w:sz w:val="28"/>
          <w:szCs w:val="28"/>
        </w:rPr>
        <w:t>万元，其中：政府采购货物支出</w:t>
      </w:r>
      <w:r>
        <w:rPr>
          <w:rFonts w:ascii="仿宋_GB2312" w:eastAsia="仿宋_GB2312"/>
          <w:sz w:val="28"/>
          <w:szCs w:val="28"/>
        </w:rPr>
        <w:t>15.88</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305.3</w:t>
      </w:r>
      <w:r>
        <w:rPr>
          <w:rFonts w:hint="eastAsia" w:ascii="仿宋_GB2312" w:eastAsia="仿宋_GB2312"/>
          <w:sz w:val="28"/>
          <w:szCs w:val="28"/>
          <w:lang w:val="en-US" w:eastAsia="zh-CN"/>
        </w:rPr>
        <w:t>0</w:t>
      </w:r>
      <w:r>
        <w:rPr>
          <w:rFonts w:hint="eastAsia" w:ascii="仿宋_GB2312" w:eastAsia="仿宋_GB2312"/>
          <w:sz w:val="28"/>
          <w:szCs w:val="28"/>
        </w:rPr>
        <w:t>万元。授予中小企业合同金额</w:t>
      </w:r>
      <w:r>
        <w:rPr>
          <w:rFonts w:ascii="仿宋_GB2312" w:eastAsia="仿宋_GB2312"/>
          <w:sz w:val="28"/>
          <w:szCs w:val="28"/>
        </w:rPr>
        <w:t>321</w:t>
      </w:r>
      <w:r>
        <w:rPr>
          <w:rFonts w:hint="eastAsia" w:ascii="仿宋_GB2312" w:eastAsia="仿宋_GB2312"/>
          <w:sz w:val="28"/>
          <w:szCs w:val="28"/>
          <w:lang w:val="en-US" w:eastAsia="zh-CN"/>
        </w:rPr>
        <w:t>.00</w:t>
      </w:r>
      <w:r>
        <w:rPr>
          <w:rFonts w:hint="eastAsia" w:ascii="仿宋_GB2312" w:eastAsia="仿宋_GB2312"/>
          <w:sz w:val="28"/>
          <w:szCs w:val="28"/>
        </w:rPr>
        <w:t>万元，占政府采购支出总额的</w:t>
      </w:r>
      <w:r>
        <w:rPr>
          <w:rFonts w:hint="eastAsia" w:ascii="仿宋_GB2312" w:eastAsia="仿宋_GB2312"/>
          <w:sz w:val="28"/>
          <w:szCs w:val="28"/>
          <w:lang w:eastAsia="zh-CN"/>
        </w:rPr>
        <w:t>99.94</w:t>
      </w:r>
      <w:r>
        <w:rPr>
          <w:rFonts w:hint="eastAsia" w:ascii="仿宋_GB2312" w:eastAsia="仿宋_GB2312"/>
          <w:sz w:val="28"/>
          <w:szCs w:val="28"/>
        </w:rPr>
        <w:t>%，其中：授予小微企业合同金额</w:t>
      </w:r>
      <w:r>
        <w:rPr>
          <w:rFonts w:ascii="仿宋_GB2312" w:eastAsia="仿宋_GB2312"/>
          <w:sz w:val="28"/>
          <w:szCs w:val="28"/>
        </w:rPr>
        <w:t>295.51</w:t>
      </w:r>
      <w:r>
        <w:rPr>
          <w:rFonts w:hint="eastAsia" w:ascii="仿宋_GB2312" w:eastAsia="仿宋_GB2312"/>
          <w:sz w:val="28"/>
          <w:szCs w:val="28"/>
        </w:rPr>
        <w:t>万元，占政府采购支出总额的</w:t>
      </w:r>
      <w:r>
        <w:rPr>
          <w:rFonts w:ascii="仿宋_GB2312" w:eastAsia="仿宋_GB2312"/>
          <w:sz w:val="28"/>
          <w:szCs w:val="28"/>
        </w:rPr>
        <w:t>92.01</w:t>
      </w:r>
      <w:r>
        <w:rPr>
          <w:rFonts w:hint="eastAsia" w:ascii="仿宋_GB2312" w:eastAsia="仿宋_GB2312"/>
          <w:sz w:val="28"/>
          <w:szCs w:val="28"/>
        </w:rPr>
        <w:t>%。</w:t>
      </w:r>
    </w:p>
    <w:p w14:paraId="4A91083D">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14:paraId="542CA0E3">
      <w:pPr>
        <w:ind w:firstLine="560" w:firstLineChars="200"/>
        <w:rPr>
          <w:rFonts w:ascii="仿宋_GB2312" w:eastAsia="仿宋_GB2312"/>
          <w:sz w:val="32"/>
          <w:szCs w:val="32"/>
        </w:rPr>
      </w:pP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12月31日，北京演艺集团有限责任公司下属事业单位</w:t>
      </w:r>
      <w:r>
        <w:rPr>
          <w:rFonts w:hint="eastAsia" w:ascii="仿宋_GB2312" w:eastAsia="仿宋_GB2312"/>
          <w:sz w:val="28"/>
          <w:szCs w:val="28"/>
        </w:rPr>
        <w:t>北京市杂技学校（北京市国际艺术学校）</w:t>
      </w:r>
      <w:r>
        <w:rPr>
          <w:rFonts w:hint="eastAsia" w:ascii="仿宋_GB2312" w:eastAsia="仿宋_GB2312"/>
          <w:sz w:val="28"/>
          <w:szCs w:val="28"/>
          <w:lang w:eastAsia="zh-CN"/>
        </w:rPr>
        <w:t>共有</w:t>
      </w:r>
      <w:r>
        <w:rPr>
          <w:rFonts w:hint="eastAsia" w:ascii="仿宋_GB2312" w:eastAsia="仿宋_GB2312"/>
          <w:sz w:val="28"/>
          <w:szCs w:val="28"/>
        </w:rPr>
        <w:t>车辆</w:t>
      </w:r>
      <w:r>
        <w:rPr>
          <w:rFonts w:hint="eastAsia" w:ascii="仿宋_GB2312" w:eastAsia="仿宋_GB2312"/>
          <w:sz w:val="28"/>
          <w:szCs w:val="28"/>
          <w:lang w:val="en-US" w:eastAsia="zh-CN"/>
        </w:rPr>
        <w:t>15</w:t>
      </w:r>
      <w:r>
        <w:rPr>
          <w:rFonts w:hint="eastAsia" w:ascii="仿宋_GB2312" w:eastAsia="仿宋_GB2312"/>
          <w:sz w:val="28"/>
          <w:szCs w:val="28"/>
        </w:rPr>
        <w:t>台；单位价值100万元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9</w:t>
      </w:r>
      <w:r>
        <w:rPr>
          <w:rFonts w:hint="eastAsia" w:ascii="仿宋_GB2312" w:eastAsia="仿宋_GB2312"/>
          <w:sz w:val="28"/>
          <w:szCs w:val="28"/>
        </w:rPr>
        <w:t>台（套）。</w:t>
      </w:r>
    </w:p>
    <w:p w14:paraId="4E787406">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14:paraId="3FC560D8">
      <w:pPr>
        <w:ind w:firstLine="560" w:firstLineChars="200"/>
        <w:jc w:val="left"/>
        <w:rPr>
          <w:rFonts w:hint="eastAsia" w:ascii="仿宋_GB2312" w:eastAsia="仿宋_GB2312"/>
          <w:sz w:val="28"/>
          <w:szCs w:val="28"/>
        </w:rPr>
      </w:pPr>
      <w:r>
        <w:rPr>
          <w:rFonts w:hint="eastAsia" w:ascii="仿宋_GB2312" w:eastAsia="仿宋_GB2312"/>
          <w:sz w:val="28"/>
          <w:szCs w:val="28"/>
        </w:rPr>
        <w:t>本</w:t>
      </w:r>
      <w:r>
        <w:rPr>
          <w:rFonts w:hint="eastAsia" w:ascii="仿宋_GB2312" w:eastAsia="仿宋_GB2312"/>
          <w:sz w:val="28"/>
          <w:szCs w:val="28"/>
          <w:lang w:val="en-US" w:eastAsia="zh-CN"/>
        </w:rPr>
        <w:t>部门</w:t>
      </w:r>
      <w:r>
        <w:rPr>
          <w:rFonts w:hint="eastAsia" w:ascii="仿宋_GB2312" w:eastAsia="仿宋_GB2312"/>
          <w:sz w:val="28"/>
          <w:szCs w:val="28"/>
        </w:rPr>
        <w:t>无此项支出。</w:t>
      </w:r>
    </w:p>
    <w:p w14:paraId="3BC5483D">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14:paraId="21873D53">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14:paraId="5B31F580">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14:paraId="5A4430C5">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14:paraId="6E308075">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14:paraId="5268FC27">
      <w:pPr>
        <w:ind w:firstLine="420" w:firstLineChars="150"/>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14:paraId="068D311C">
      <w:pPr>
        <w:ind w:firstLine="420" w:firstLineChars="150"/>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14:paraId="4BF5FE47">
      <w:pPr>
        <w:ind w:firstLine="420" w:firstLineChars="150"/>
        <w:rPr>
          <w:rFonts w:hint="eastAsia" w:ascii="仿宋_GB2312" w:eastAsia="仿宋_GB2312"/>
          <w:sz w:val="28"/>
          <w:szCs w:val="28"/>
        </w:rPr>
      </w:pPr>
      <w:r>
        <w:rPr>
          <w:rFonts w:hint="eastAsia" w:ascii="仿宋_GB2312" w:eastAsia="仿宋_GB2312"/>
          <w:sz w:val="28"/>
          <w:szCs w:val="28"/>
        </w:rPr>
        <w:t>7.教育支出（类）进修及培训（款）培训支出（项）：反映单位安排的用于培训方面的支出。</w:t>
      </w:r>
    </w:p>
    <w:p w14:paraId="2F00088C">
      <w:pPr>
        <w:ind w:firstLine="420" w:firstLineChars="150"/>
        <w:rPr>
          <w:rFonts w:hint="eastAsia" w:ascii="仿宋_GB2312" w:eastAsia="仿宋_GB2312"/>
          <w:sz w:val="28"/>
          <w:szCs w:val="28"/>
        </w:rPr>
      </w:pPr>
      <w:r>
        <w:rPr>
          <w:rFonts w:hint="eastAsia" w:ascii="仿宋_GB2312" w:eastAsia="仿宋_GB2312"/>
          <w:sz w:val="28"/>
          <w:szCs w:val="28"/>
        </w:rPr>
        <w:t>8.文化旅游体育与传媒支出（类）文化和旅游（款）其他文化和旅游支出（项）：反映用于公共文化设施、对外文化交流、文化艺术教育及旅游业管理与服务等方面的支出。</w:t>
      </w:r>
    </w:p>
    <w:p w14:paraId="17000C69">
      <w:pPr>
        <w:ind w:firstLine="420" w:firstLineChars="150"/>
        <w:rPr>
          <w:rFonts w:hint="eastAsia" w:ascii="仿宋_GB2312" w:eastAsia="仿宋_GB2312"/>
          <w:sz w:val="28"/>
          <w:szCs w:val="28"/>
        </w:rPr>
      </w:pPr>
      <w:r>
        <w:rPr>
          <w:rFonts w:hint="eastAsia" w:ascii="仿宋_GB2312" w:eastAsia="仿宋_GB2312"/>
          <w:sz w:val="28"/>
          <w:szCs w:val="28"/>
        </w:rPr>
        <w:t>9.文化旅游体育与传媒支出（类）文化和旅游（款）艺术表演团体（项）：反映用于艺术表演团体、文化艺术活动等方面的支出。</w:t>
      </w:r>
    </w:p>
    <w:p w14:paraId="7A0A23C0">
      <w:pPr>
        <w:ind w:firstLine="420" w:firstLineChars="150"/>
        <w:rPr>
          <w:rFonts w:hint="eastAsia" w:ascii="仿宋_GB2312" w:eastAsia="仿宋_GB2312"/>
          <w:sz w:val="28"/>
          <w:szCs w:val="28"/>
        </w:rPr>
      </w:pPr>
      <w:r>
        <w:rPr>
          <w:rFonts w:hint="eastAsia" w:ascii="仿宋_GB2312" w:eastAsia="仿宋_GB2312"/>
          <w:sz w:val="28"/>
          <w:szCs w:val="28"/>
        </w:rPr>
        <w:t>10.文化旅游体育与传媒支出（类）其他文化旅游体育与传媒支出（款）其他文化旅游体育与传媒支出（项）：反映其他用于文化旅游体育与传媒方面的支出。</w:t>
      </w:r>
    </w:p>
    <w:p w14:paraId="4F74CF01">
      <w:pPr>
        <w:jc w:val="both"/>
        <w:rPr>
          <w:rFonts w:hint="eastAsia" w:ascii="黑体" w:eastAsia="黑体"/>
          <w:sz w:val="32"/>
          <w:szCs w:val="32"/>
        </w:rPr>
      </w:pPr>
    </w:p>
    <w:p w14:paraId="17EC3DC6">
      <w:pPr>
        <w:tabs>
          <w:tab w:val="center" w:pos="6979"/>
        </w:tabs>
        <w:spacing w:line="380" w:lineRule="exact"/>
        <w:jc w:val="center"/>
        <w:rPr>
          <w:rFonts w:ascii="宋体" w:hAnsi="宋体" w:cs="宋体"/>
          <w:b/>
          <w:bCs/>
          <w:kern w:val="0"/>
          <w:sz w:val="28"/>
          <w:szCs w:val="28"/>
        </w:rPr>
      </w:pPr>
    </w:p>
    <w:p w14:paraId="09D045FC">
      <w:pPr>
        <w:tabs>
          <w:tab w:val="center" w:pos="6979"/>
        </w:tabs>
        <w:spacing w:line="380" w:lineRule="exact"/>
        <w:jc w:val="center"/>
        <w:rPr>
          <w:rFonts w:ascii="宋体" w:hAnsi="宋体" w:cs="宋体"/>
          <w:b/>
          <w:bCs/>
          <w:kern w:val="0"/>
          <w:sz w:val="28"/>
          <w:szCs w:val="28"/>
        </w:rPr>
      </w:pPr>
    </w:p>
    <w:p w14:paraId="08190840">
      <w:pPr>
        <w:ind w:firstLine="640" w:firstLineChars="200"/>
        <w:jc w:val="center"/>
        <w:rPr>
          <w:rFonts w:hint="eastAsia" w:ascii="黑体" w:eastAsia="黑体"/>
          <w:sz w:val="32"/>
          <w:szCs w:val="32"/>
        </w:rPr>
      </w:pPr>
    </w:p>
    <w:p w14:paraId="1364D4FF">
      <w:pPr>
        <w:ind w:firstLine="640" w:firstLineChars="200"/>
        <w:jc w:val="center"/>
        <w:rPr>
          <w:rFonts w:hint="eastAsia" w:ascii="黑体" w:eastAsia="黑体"/>
          <w:sz w:val="32"/>
          <w:szCs w:val="32"/>
        </w:rPr>
      </w:pPr>
    </w:p>
    <w:p w14:paraId="25AAB647">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4</w:t>
      </w:r>
      <w:r>
        <w:rPr>
          <w:rFonts w:hint="eastAsia" w:ascii="黑体" w:eastAsia="黑体"/>
          <w:sz w:val="32"/>
          <w:szCs w:val="32"/>
        </w:rPr>
        <w:t>年度部门绩效评价情况</w:t>
      </w:r>
    </w:p>
    <w:p w14:paraId="6910D009">
      <w:pPr>
        <w:ind w:firstLine="560" w:firstLineChars="200"/>
        <w:rPr>
          <w:rFonts w:hint="eastAsia" w:ascii="黑体" w:eastAsia="黑体"/>
          <w:sz w:val="28"/>
          <w:szCs w:val="28"/>
          <w:highlight w:val="yellow"/>
        </w:rPr>
      </w:pPr>
    </w:p>
    <w:p w14:paraId="6876CAA8">
      <w:pPr>
        <w:numPr>
          <w:ilvl w:val="0"/>
          <w:numId w:val="1"/>
        </w:numPr>
        <w:ind w:firstLine="560" w:firstLineChars="200"/>
        <w:rPr>
          <w:rFonts w:hint="eastAsia" w:ascii="黑体" w:eastAsia="黑体"/>
          <w:sz w:val="28"/>
          <w:szCs w:val="28"/>
        </w:rPr>
      </w:pPr>
      <w:r>
        <w:rPr>
          <w:rFonts w:hint="eastAsia" w:ascii="黑体" w:eastAsia="黑体"/>
          <w:sz w:val="28"/>
          <w:szCs w:val="28"/>
        </w:rPr>
        <w:t>部门整体绩效评价报告</w:t>
      </w:r>
    </w:p>
    <w:p w14:paraId="276F2D39">
      <w:pPr>
        <w:pStyle w:val="3"/>
        <w:numPr>
          <w:ilvl w:val="0"/>
          <w:numId w:val="0"/>
        </w:numPr>
        <w:ind w:firstLine="560" w:firstLineChars="200"/>
        <w:rPr>
          <w:rFonts w:hint="eastAsia"/>
          <w:lang w:eastAsia="zh-CN"/>
        </w:rPr>
      </w:pPr>
      <w:r>
        <w:rPr>
          <w:rFonts w:hint="eastAsia" w:ascii="仿宋_GB2312" w:hAnsi="仿宋_GB2312" w:eastAsia="仿宋_GB2312" w:cs="仿宋_GB2312"/>
          <w:kern w:val="2"/>
          <w:sz w:val="28"/>
          <w:szCs w:val="28"/>
          <w:lang w:val="en-US" w:eastAsia="zh-CN" w:bidi="ar-SA"/>
        </w:rPr>
        <w:t>详见附件。</w:t>
      </w:r>
    </w:p>
    <w:p w14:paraId="5F951B71">
      <w:pPr>
        <w:numPr>
          <w:ilvl w:val="0"/>
          <w:numId w:val="1"/>
        </w:numPr>
        <w:ind w:left="0" w:leftChars="0" w:firstLine="560" w:firstLineChars="200"/>
        <w:rPr>
          <w:rFonts w:hint="eastAsia" w:ascii="黑体" w:eastAsia="黑体"/>
          <w:sz w:val="28"/>
          <w:szCs w:val="28"/>
        </w:rPr>
      </w:pPr>
      <w:r>
        <w:rPr>
          <w:rFonts w:hint="eastAsia" w:ascii="黑体" w:eastAsia="黑体"/>
          <w:sz w:val="28"/>
          <w:szCs w:val="28"/>
        </w:rPr>
        <w:t>项目支出绩效评价报告</w:t>
      </w:r>
    </w:p>
    <w:p w14:paraId="639B53F0">
      <w:pPr>
        <w:pStyle w:val="3"/>
        <w:numPr>
          <w:ilvl w:val="0"/>
          <w:numId w:val="0"/>
        </w:numPr>
        <w:ind w:leftChars="200"/>
        <w:rPr>
          <w:rFonts w:hint="eastAsia"/>
        </w:rPr>
      </w:pPr>
      <w:r>
        <w:rPr>
          <w:rFonts w:hint="eastAsia" w:ascii="仿宋_GB2312" w:hAnsi="仿宋_GB2312" w:eastAsia="仿宋_GB2312" w:cs="仿宋_GB2312"/>
          <w:kern w:val="2"/>
          <w:sz w:val="28"/>
          <w:szCs w:val="28"/>
          <w:lang w:val="en-US" w:eastAsia="zh-CN" w:bidi="ar-SA"/>
        </w:rPr>
        <w:t>详见附件。</w:t>
      </w:r>
    </w:p>
    <w:p w14:paraId="4ACBC7CC">
      <w:pPr>
        <w:numPr>
          <w:ilvl w:val="0"/>
          <w:numId w:val="1"/>
        </w:numPr>
        <w:ind w:left="0" w:leftChars="0"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14:paraId="68B800E2">
      <w:pPr>
        <w:pStyle w:val="3"/>
        <w:rPr>
          <w:rFonts w:hint="eastAsia" w:ascii="仿宋_GB2312" w:hAnsi="仿宋_GB2312" w:eastAsia="仿宋_GB2312" w:cs="仿宋_GB2312"/>
          <w:sz w:val="32"/>
          <w:szCs w:val="32"/>
        </w:rPr>
      </w:pPr>
      <w:r>
        <w:rPr>
          <w:rFonts w:hint="eastAsia" w:ascii="仿宋_GB2312" w:hAnsi="仿宋_GB2312" w:eastAsia="仿宋_GB2312" w:cs="仿宋_GB2312"/>
          <w:kern w:val="2"/>
          <w:sz w:val="28"/>
          <w:szCs w:val="28"/>
          <w:lang w:val="en-US" w:eastAsia="zh-CN" w:bidi="ar-SA"/>
        </w:rPr>
        <w:t>详见附件。</w:t>
      </w:r>
    </w:p>
    <w:p w14:paraId="61C1C50C">
      <w:pPr>
        <w:ind w:firstLine="560" w:firstLineChars="200"/>
        <w:rPr>
          <w:rFonts w:hint="eastAsia" w:ascii="黑体" w:hAnsi="Times New Roman" w:eastAsia="黑体" w:cs="Times New Roman"/>
          <w:sz w:val="28"/>
          <w:szCs w:val="28"/>
          <w:lang w:eastAsia="zh-CN"/>
        </w:rPr>
      </w:pPr>
      <w:r>
        <w:rPr>
          <w:rFonts w:hint="eastAsia" w:ascii="黑体" w:hAnsi="Times New Roman" w:eastAsia="黑体" w:cs="Times New Roman"/>
          <w:sz w:val="28"/>
          <w:szCs w:val="28"/>
          <w:lang w:eastAsia="zh-CN"/>
        </w:rPr>
        <w:t>四、</w:t>
      </w:r>
      <w:r>
        <w:rPr>
          <w:rFonts w:hint="eastAsia" w:ascii="黑体" w:hAnsi="Times New Roman" w:eastAsia="黑体" w:cs="Times New Roman"/>
          <w:sz w:val="28"/>
          <w:szCs w:val="28"/>
          <w:lang w:val="en-US" w:eastAsia="zh-CN"/>
        </w:rPr>
        <w:t>中央对北京XX转移支付预算执行情况绩效自评报告</w:t>
      </w:r>
    </w:p>
    <w:p w14:paraId="31D45E3C">
      <w:pPr>
        <w:spacing w:line="360" w:lineRule="auto"/>
        <w:ind w:left="560"/>
        <w:outlineLvl w:val="0"/>
        <w:rPr>
          <w:rFonts w:hint="eastAsia" w:ascii="黑体" w:eastAsia="黑体"/>
          <w:sz w:val="28"/>
          <w:szCs w:val="28"/>
        </w:rPr>
      </w:pPr>
      <w:r>
        <w:rPr>
          <w:rFonts w:hint="eastAsia" w:ascii="仿宋_GB2312" w:hAnsi="Times New Roman" w:eastAsia="仿宋_GB2312" w:cs="Times New Roman"/>
          <w:kern w:val="2"/>
          <w:sz w:val="28"/>
          <w:szCs w:val="28"/>
          <w:lang w:val="en-US" w:eastAsia="zh-CN" w:bidi="ar-SA"/>
        </w:rPr>
        <w:t>本部门</w:t>
      </w:r>
      <w:r>
        <w:rPr>
          <w:rFonts w:hint="eastAsia" w:ascii="仿宋_GB2312" w:hAnsi="黑体" w:eastAsia="仿宋_GB2312"/>
          <w:sz w:val="28"/>
          <w:szCs w:val="28"/>
        </w:rPr>
        <w:t>不涉及此项内容。</w:t>
      </w:r>
      <w:bookmarkStart w:id="0" w:name="_GoBack"/>
      <w:bookmarkEnd w:id="0"/>
    </w:p>
    <w:p w14:paraId="1CA65D07">
      <w:pPr>
        <w:spacing w:line="480" w:lineRule="exact"/>
        <w:rPr>
          <w:rFonts w:hint="eastAsia" w:ascii="仿宋_GB2312" w:hAnsi="仿宋_GB2312" w:eastAsia="仿宋_GB2312" w:cs="仿宋_GB2312"/>
          <w:sz w:val="32"/>
          <w:szCs w:val="32"/>
        </w:rPr>
      </w:pPr>
    </w:p>
    <w:p w14:paraId="32B1684A">
      <w:pPr>
        <w:spacing w:line="480" w:lineRule="exact"/>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CF01DC">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3</w:t>
    </w:r>
    <w:r>
      <w:fldChar w:fldCharType="end"/>
    </w:r>
  </w:p>
  <w:p w14:paraId="265745B6">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6872EB">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5</w:t>
    </w:r>
    <w:r>
      <w:fldChar w:fldCharType="end"/>
    </w:r>
  </w:p>
  <w:p w14:paraId="59FF71A5">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152E2D">
    <w:pPr>
      <w:pStyle w:val="7"/>
      <w:framePr w:wrap="around" w:vAnchor="text" w:hAnchor="margin" w:xAlign="center" w:y="1"/>
      <w:rPr>
        <w:rStyle w:val="13"/>
      </w:rPr>
    </w:pPr>
    <w:r>
      <w:fldChar w:fldCharType="begin"/>
    </w:r>
    <w:r>
      <w:rPr>
        <w:rStyle w:val="13"/>
      </w:rPr>
      <w:instrText xml:space="preserve">PAGE  </w:instrText>
    </w:r>
    <w:r>
      <w:fldChar w:fldCharType="separate"/>
    </w:r>
    <w:r>
      <w:rPr>
        <w:rStyle w:val="13"/>
      </w:rPr>
      <w:t>15</w:t>
    </w:r>
    <w:r>
      <w:fldChar w:fldCharType="end"/>
    </w:r>
  </w:p>
  <w:p w14:paraId="7AE9FE89">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5A6ACF"/>
    <w:multiLevelType w:val="singleLevel"/>
    <w:tmpl w:val="A05A6ACF"/>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ZmNWE4NzRhMTczNjJlZDE5ZTE5YTczN2QxMzcyMjA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6966D7B"/>
    <w:rsid w:val="178F720E"/>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AFB1DE5"/>
    <w:rsid w:val="4BF72BEF"/>
    <w:rsid w:val="4FA90297"/>
    <w:rsid w:val="4FC41A43"/>
    <w:rsid w:val="51DB3C59"/>
    <w:rsid w:val="550C0952"/>
    <w:rsid w:val="55762E42"/>
    <w:rsid w:val="57A7B272"/>
    <w:rsid w:val="58470068"/>
    <w:rsid w:val="58747CAC"/>
    <w:rsid w:val="5A1720F9"/>
    <w:rsid w:val="5B9C37C2"/>
    <w:rsid w:val="5BA7C654"/>
    <w:rsid w:val="60A54109"/>
    <w:rsid w:val="61D01CDF"/>
    <w:rsid w:val="64C0607C"/>
    <w:rsid w:val="65756C86"/>
    <w:rsid w:val="674D385B"/>
    <w:rsid w:val="676F09E1"/>
    <w:rsid w:val="6B494A58"/>
    <w:rsid w:val="7357290B"/>
    <w:rsid w:val="798524E4"/>
    <w:rsid w:val="7A7F1C49"/>
    <w:rsid w:val="7B5B7AE6"/>
    <w:rsid w:val="7B7B6628"/>
    <w:rsid w:val="7BA7071E"/>
    <w:rsid w:val="7BDF6DA8"/>
    <w:rsid w:val="7C7EDC1A"/>
    <w:rsid w:val="7CCED98D"/>
    <w:rsid w:val="7D08410F"/>
    <w:rsid w:val="7DB96DED"/>
    <w:rsid w:val="7DD3AD81"/>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100" w:beforeAutospacing="1" w:after="100" w:afterAutospacing="1"/>
      <w:outlineLvl w:val="1"/>
    </w:pPr>
    <w:rPr>
      <w:rFonts w:ascii="Cambria" w:hAnsi="Cambria" w:eastAsia="黑体"/>
      <w:b/>
      <w:bCs/>
      <w:kern w:val="0"/>
      <w:sz w:val="36"/>
      <w:szCs w:val="32"/>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2">
    <w:name w:val="Strong"/>
    <w:qFormat/>
    <w:uiPriority w:val="0"/>
    <w:rPr>
      <w:b/>
    </w:rPr>
  </w:style>
  <w:style w:type="character" w:styleId="13">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Workbook2.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endParaRPr lang="zh-CN" altLang="en-US" sz="1400" b="0"/>
          </a:p>
        </c:rich>
      </c:tx>
      <c:layout/>
      <c:overlay val="0"/>
    </c:title>
    <c:autoTitleDeleted val="0"/>
    <c:plotArea>
      <c:layout/>
      <c:pieChart>
        <c:varyColors val="1"/>
        <c:ser>
          <c:idx val="0"/>
          <c:order val="0"/>
          <c:tx>
            <c:strRef>
              <c:f>Sheet1!$B$1</c:f>
              <c:strCache>
                <c:ptCount val="1"/>
                <c:pt idx="0">
                  <c:v>收入</c:v>
                </c:pt>
              </c:strCache>
            </c:strRef>
          </c:tx>
          <c:explosion val="0"/>
          <c:dPt>
            <c:idx val="0"/>
            <c:bubble3D val="0"/>
          </c:dPt>
          <c:dPt>
            <c:idx val="1"/>
            <c:bubble3D val="0"/>
          </c:dPt>
          <c:dPt>
            <c:idx val="2"/>
            <c:bubble3D val="0"/>
          </c:dPt>
          <c:dPt>
            <c:idx val="3"/>
            <c:bubble3D val="0"/>
          </c:dPt>
          <c:dPt>
            <c:idx val="4"/>
            <c:bubble3D val="0"/>
          </c:dPt>
          <c:dPt>
            <c:idx val="5"/>
            <c:bubble3D val="0"/>
          </c:dPt>
          <c:dLbls>
            <c:dLbl>
              <c:idx val="1"/>
              <c:layout>
                <c:manualLayout>
                  <c:x val="-0.198114748521991"/>
                  <c:y val="0.0974131107077314"/>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0197655691188979"/>
                  <c:y val="-0.134656226633679"/>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3"/>
              <c:layout>
                <c:manualLayout>
                  <c:x val="-0.101287425703395"/>
                  <c:y val="-0.0664804342879957"/>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16860809374938"/>
                  <c:y val="0.0063311282972237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5"/>
              <c:layout>
                <c:manualLayout>
                  <c:x val="0.129480565042389"/>
                  <c:y val="0.015330310706554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102878.93</c:v>
                </c:pt>
                <c:pt idx="1">
                  <c:v>0</c:v>
                </c:pt>
                <c:pt idx="2">
                  <c:v>317.44</c:v>
                </c:pt>
                <c:pt idx="3">
                  <c:v>0</c:v>
                </c:pt>
                <c:pt idx="4">
                  <c:v>0</c:v>
                </c:pt>
                <c:pt idx="5">
                  <c:v>10.78</c:v>
                </c:pt>
              </c:numCache>
            </c:numRef>
          </c:val>
        </c:ser>
        <c:dLbls>
          <c:showLegendKey val="0"/>
          <c:showVal val="1"/>
          <c:showCatName val="0"/>
          <c:showSerName val="0"/>
          <c:showPercent val="0"/>
          <c:showBubbleSize val="0"/>
          <c:showLeaderLines val="1"/>
        </c:dLbls>
        <c:firstSliceAng val="0"/>
      </c:pieChart>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c2b78e91-5f4c-4e65-9eac-ef854812405d}"/>
      </c:ext>
    </c:extLst>
  </c:chart>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endParaRPr lang="zh-CN" altLang="en-US">
              <a:solidFill>
                <a:schemeClr val="tx1"/>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Pt>
            <c:idx val="2"/>
            <c:bubble3D val="0"/>
            <c:spPr>
              <a:solidFill>
                <a:srgbClr val="9BBB59"/>
              </a:solidFill>
              <a:ln w="19050">
                <a:solidFill>
                  <a:srgbClr val="FFFFFF"/>
                </a:solidFill>
              </a:ln>
              <a:effectLst/>
            </c:spPr>
          </c:dPt>
          <c:dPt>
            <c:idx val="3"/>
            <c:bubble3D val="0"/>
            <c:spPr>
              <a:solidFill>
                <a:srgbClr val="8064A2"/>
              </a:solidFill>
              <a:ln w="19050">
                <a:solidFill>
                  <a:srgbClr val="FFFFFF"/>
                </a:solidFill>
              </a:ln>
              <a:effectLst/>
            </c:spPr>
          </c:dPt>
          <c:dPt>
            <c:idx val="4"/>
            <c:bubble3D val="0"/>
            <c:spPr>
              <a:solidFill>
                <a:srgbClr val="4BACC6"/>
              </a:solidFill>
              <a:ln w="19050">
                <a:solidFill>
                  <a:srgbClr val="FFFFFF"/>
                </a:solidFill>
              </a:ln>
              <a:effectLst/>
            </c:spPr>
          </c:dPt>
          <c:dLbls>
            <c:dLbl>
              <c:idx val="0"/>
              <c:layout>
                <c:manualLayout>
                  <c:x val="0.0555555555555556"/>
                  <c:y val="0.0039351851851851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2"/>
              <c:layout>
                <c:manualLayout>
                  <c:x val="-0.0784481738455945"/>
                  <c:y val="0.00967899546263965"/>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dLbl>
              <c:idx val="4"/>
              <c:layout>
                <c:manualLayout>
                  <c:x val="-0.125455675085834"/>
                  <c:y val="0.0607427109915438"/>
                </c:manualLayout>
              </c:layout>
              <c:dLblPos val="bestFit"/>
              <c:showLegendKey val="0"/>
              <c:showVal val="0"/>
              <c:showCatName val="0"/>
              <c:showSerName val="0"/>
              <c:showPercent val="1"/>
              <c:showBubbleSize val="0"/>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5332.07</c:v>
                </c:pt>
                <c:pt idx="1">
                  <c:v>59795.14</c:v>
                </c:pt>
                <c:pt idx="2">
                  <c:v>0</c:v>
                </c:pt>
                <c:pt idx="3">
                  <c:v>0</c:v>
                </c:pt>
                <c:pt idx="4">
                  <c:v>0</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Entry>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p>
      </c:txPr>
    </c:legend>
    <c:plotVisOnly val="1"/>
    <c:dispBlanksAs val="gap"/>
    <c:showDLblsOverMax val="0"/>
    <c:extLst>
      <c:ext uri="{0b15fc19-7d7d-44ad-8c2d-2c3a37ce22c3}">
        <chartProps xmlns="https://web.wps.cn/et/2018/main" chartId="{16d689bb-c3e6-4d67-873a-1c27ba72ae50}"/>
      </c:ext>
    </c:extLst>
  </c:chart>
  <c:spPr>
    <a:ln w="9525" cap="flat" cmpd="sng" algn="ctr">
      <a:solidFill>
        <a:srgbClr val="D9D9D9">
          <a:lumMod val="15000"/>
          <a:lumOff val="85000"/>
        </a:srgb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268</Words>
  <Characters>286</Characters>
  <Lines>44</Lines>
  <Paragraphs>12</Paragraphs>
  <TotalTime>13</TotalTime>
  <ScaleCrop>false</ScaleCrop>
  <LinksUpToDate>false</LinksUpToDate>
  <CharactersWithSpaces>298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46207</cp:lastModifiedBy>
  <cp:lastPrinted>2020-08-07T11:39:00Z</cp:lastPrinted>
  <dcterms:modified xsi:type="dcterms:W3CDTF">2025-08-22T06:01:00Z</dcterms:modified>
  <dc:title>北京市财政局关于做好向市人大常委会报送2015年度市级部门决算（草案）</dc:title>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435078ACFECC4A5A8A519EF4C3681114_13</vt:lpwstr>
  </property>
  <property fmtid="{D5CDD505-2E9C-101B-9397-08002B2CF9AE}" pid="4" name="KSOTemplateDocerSaveRecord">
    <vt:lpwstr>eyJoZGlkIjoiMWYzODBjNWI5OTIyNzY1YzMyYzZjNGJiMDU3YWJlNjQiLCJ1c2VySWQiOiIyOTcxMDg4MjQifQ==</vt:lpwstr>
  </property>
</Properties>
</file>